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autoSpaceDE w:val="0"/>
        <w:autoSpaceDN/>
        <w:spacing w:line="600" w:lineRule="atLeast"/>
        <w:ind w:right="0"/>
        <w:jc w:val="center"/>
        <w:rPr>
          <w:rFonts w:hint="eastAsia" w:eastAsia="方正小标宋简体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  <w:t>不予行政</w:t>
      </w:r>
      <w:r>
        <w:rPr>
          <w:rFonts w:ascii="方正小标宋简体" w:hAnsi="方正小标宋简体" w:eastAsia="方正小标宋简体" w:cs="方正小标宋简体"/>
          <w:sz w:val="31"/>
          <w:szCs w:val="31"/>
        </w:rPr>
        <w:t>处罚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  <w:t>事项清单</w:t>
      </w:r>
    </w:p>
    <w:p>
      <w:pPr>
        <w:pStyle w:val="7"/>
        <w:keepNext w:val="0"/>
        <w:keepLines w:val="0"/>
        <w:widowControl/>
        <w:suppressLineNumbers w:val="0"/>
        <w:autoSpaceDE w:val="0"/>
        <w:autoSpaceDN/>
        <w:spacing w:line="600" w:lineRule="atLeast"/>
        <w:ind w:right="0"/>
        <w:jc w:val="both"/>
      </w:pPr>
      <w:r>
        <w:rPr>
          <w:rFonts w:hint="eastAsia" w:ascii="仿宋_GB2312" w:eastAsia="仿宋_GB2312" w:cs="仿宋_GB2312"/>
          <w:sz w:val="30"/>
          <w:szCs w:val="30"/>
        </w:rPr>
        <w:t>单位：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  （加盖公章） </w:t>
      </w:r>
    </w:p>
    <w:tbl>
      <w:tblPr>
        <w:tblStyle w:val="8"/>
        <w:tblW w:w="139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695"/>
        <w:gridCol w:w="1195"/>
        <w:gridCol w:w="2445"/>
        <w:gridCol w:w="6810"/>
        <w:gridCol w:w="1380"/>
        <w:gridCol w:w="7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管理领域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不予行政处罚事项</w:t>
            </w:r>
          </w:p>
        </w:tc>
        <w:tc>
          <w:tcPr>
            <w:tcW w:w="8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不予行政处罚的情形</w:t>
            </w:r>
          </w:p>
        </w:tc>
        <w:tc>
          <w:tcPr>
            <w:tcW w:w="24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不予行政处罚的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依据</w:t>
            </w:r>
          </w:p>
        </w:tc>
        <w:tc>
          <w:tcPr>
            <w:tcW w:w="4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后续监管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措施</w:t>
            </w:r>
          </w:p>
        </w:tc>
        <w:tc>
          <w:tcPr>
            <w:tcW w:w="2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权力层级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5" w:hRule="atLeast"/>
        </w:trPr>
        <w:tc>
          <w:tcPr>
            <w:tcW w:w="2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价格监管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对经营者违反明码标价规定行为的处罚。</w:t>
            </w:r>
          </w:p>
        </w:tc>
        <w:tc>
          <w:tcPr>
            <w:tcW w:w="8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首次被发现且危害后果轻微并及时改正的；未按规定内容和方式明码标价，自行改正或经责令改正后及时改正的；集贸市场、摊贩等经营者，销售商品时未明码标价，但不影响消费者知情权、选择权的。</w:t>
            </w:r>
          </w:p>
        </w:tc>
        <w:tc>
          <w:tcPr>
            <w:tcW w:w="24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《中华人民共和国价格法》（1997年12月29日第八届全国人民代表大会常务委员会第二十九次会议通过，1998年5月1日起施行）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第十三条第一款  经营者销售、收购商品和提供服务，应当按照政府价格主管部门的规定明码标价，注明商品的品名、产地、规格、等级、计价单位、价格或者服务的项目、收费标准等有关情况。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第四十二条  经营者违反明码标价规定的，责令改正，没收违法所得，可以并处五千元以下的罚款。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《价格违法行为行政处罚规定》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1999年7月10日国务院批准，1999年8月1日国家发展计划委员会发布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根据2010年12月4日《国务院关于修改〈价格违法行为行政处罚规定〉的决定》第三次修订)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第十三条  经营者违反明码标价规定，有下列行为之一的，责令改正，没收违法所得，可以并处5000元以下的罚款。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(一)不标明价格的；(二)不按照规定的内容和方式明码标价的；(三)在标价之外加价出售商品或者收取未标明的费用的；(四)违反明码标价规定的其他行为。</w:t>
            </w:r>
          </w:p>
        </w:tc>
        <w:tc>
          <w:tcPr>
            <w:tcW w:w="4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说服教育行政指导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行政告诫</w:t>
            </w:r>
          </w:p>
        </w:tc>
        <w:tc>
          <w:tcPr>
            <w:tcW w:w="2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autoSpaceDE w:val="0"/>
        <w:autoSpaceDN/>
        <w:spacing w:line="600" w:lineRule="atLeast"/>
        <w:ind w:left="0" w:right="0" w:firstLine="315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从轻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处罚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  <w:t>事项清单</w:t>
      </w:r>
    </w:p>
    <w:p>
      <w:pPr>
        <w:pStyle w:val="7"/>
        <w:keepNext w:val="0"/>
        <w:keepLines w:val="0"/>
        <w:widowControl/>
        <w:suppressLineNumbers w:val="0"/>
        <w:autoSpaceDE w:val="0"/>
        <w:autoSpaceDN/>
        <w:spacing w:line="600" w:lineRule="atLeast"/>
        <w:ind w:right="0"/>
        <w:jc w:val="both"/>
      </w:pPr>
      <w:r>
        <w:rPr>
          <w:rFonts w:hint="eastAsia" w:ascii="仿宋_GB2312" w:eastAsia="仿宋_GB2312" w:cs="仿宋_GB2312"/>
          <w:sz w:val="30"/>
          <w:szCs w:val="30"/>
        </w:rPr>
        <w:t>单位：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  （加盖公章） </w:t>
      </w:r>
      <w:r>
        <w:rPr>
          <w:rFonts w:hint="eastAsia" w:ascii="仿宋_GB2312" w:eastAsia="仿宋_GB2312" w:cs="仿宋_GB2312"/>
          <w:sz w:val="30"/>
          <w:szCs w:val="30"/>
        </w:rPr>
        <w:t>  </w:t>
      </w:r>
      <w:r>
        <w:rPr>
          <w:rFonts w:hint="eastAsia" w:ascii="仿宋_GB2312" w:eastAsia="仿宋_GB2312" w:cs="仿宋_GB2312"/>
          <w:sz w:val="31"/>
          <w:szCs w:val="31"/>
        </w:rPr>
        <w:t>  </w:t>
      </w:r>
    </w:p>
    <w:tbl>
      <w:tblPr>
        <w:tblStyle w:val="8"/>
        <w:tblW w:w="139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726"/>
        <w:gridCol w:w="1246"/>
        <w:gridCol w:w="2430"/>
        <w:gridCol w:w="7320"/>
        <w:gridCol w:w="855"/>
        <w:gridCol w:w="7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管理领域</w:t>
            </w:r>
          </w:p>
        </w:tc>
        <w:tc>
          <w:tcPr>
            <w:tcW w:w="4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从轻行政处罚事项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从轻行政处罚的情形</w:t>
            </w:r>
          </w:p>
        </w:tc>
        <w:tc>
          <w:tcPr>
            <w:tcW w:w="2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从轻行政处罚的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依据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后续监管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措施</w:t>
            </w:r>
          </w:p>
        </w:tc>
        <w:tc>
          <w:tcPr>
            <w:tcW w:w="2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权力层级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价格监管</w:t>
            </w:r>
          </w:p>
        </w:tc>
        <w:tc>
          <w:tcPr>
            <w:tcW w:w="4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个体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经营者及小微企业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不执行政府定价、政府指导价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行为的处罚。</w:t>
            </w:r>
          </w:p>
        </w:tc>
        <w:tc>
          <w:tcPr>
            <w:tcW w:w="8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主动消除或者减轻违法行为危害后果的；积极配合市场监管部门调查，如实陈述违法事实并主动提供证据材料的。</w:t>
            </w:r>
          </w:p>
        </w:tc>
        <w:tc>
          <w:tcPr>
            <w:tcW w:w="2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《中华人民共和国价格法》（1997年12月29日第八届全国人民代表大会常务委员会第二十九次会议通过，1998年5月1日起施行）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第十二条  经营者进行价格活动，应当遵守法律、法规，执行依法制定的政府指导价、政府定价和法定的价格干预措施、紧急措施。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第三十九条  经营者不执行政府指导价、政府定价以及法定的价格干预措施、紧急措施的，责令改正，没收违法所得，可以并处违法所得五倍以下的罚款；没有违法所得的，可以处以罚款；情节严重的，责令停业整顿。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《价格违法行为行政处罚规定》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1999年7月10日国务院批准，1999年8月1日国家发展计划委员会发布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根据2010年12月4日《国务院关于修改〈价格违法行为行政处罚规定〉的决定》第三次修订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第九条  经营者不执行政府指导价、政府定价，有下列行为之一的，责令改正，没收违法所得，并处违法所得5倍以下的罚款;没有违法所得的，处5万元以上50万元以下的罚款，情节较重的处50万元以上200万元以下的罚款;情节严重的，责令停业整顿：</w:t>
            </w:r>
          </w:p>
        </w:tc>
        <w:tc>
          <w:tcPr>
            <w:tcW w:w="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行政指导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行政约谈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行政告诫</w:t>
            </w:r>
          </w:p>
        </w:tc>
        <w:tc>
          <w:tcPr>
            <w:tcW w:w="2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autoSpaceDE w:val="0"/>
        <w:autoSpaceDN/>
        <w:spacing w:line="600" w:lineRule="atLeast"/>
        <w:ind w:left="0" w:right="0" w:firstLine="315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减轻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处罚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  <w:t>事项清单</w:t>
      </w:r>
    </w:p>
    <w:p>
      <w:pPr>
        <w:pStyle w:val="7"/>
        <w:keepNext w:val="0"/>
        <w:keepLines w:val="0"/>
        <w:widowControl/>
        <w:suppressLineNumbers w:val="0"/>
        <w:autoSpaceDE w:val="0"/>
        <w:autoSpaceDN/>
        <w:spacing w:line="600" w:lineRule="atLeast"/>
        <w:ind w:right="0"/>
        <w:jc w:val="both"/>
      </w:pPr>
      <w:r>
        <w:rPr>
          <w:rFonts w:hint="eastAsia" w:ascii="仿宋_GB2312" w:eastAsia="仿宋_GB2312" w:cs="仿宋_GB2312"/>
          <w:sz w:val="30"/>
          <w:szCs w:val="30"/>
        </w:rPr>
        <w:t>单位：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  （加盖公章） </w:t>
      </w:r>
    </w:p>
    <w:tbl>
      <w:tblPr>
        <w:tblStyle w:val="8"/>
        <w:tblW w:w="4725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720"/>
        <w:gridCol w:w="1995"/>
        <w:gridCol w:w="2055"/>
        <w:gridCol w:w="4290"/>
        <w:gridCol w:w="2145"/>
        <w:gridCol w:w="1395"/>
        <w:gridCol w:w="7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2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减轻行政处罚事项</w:t>
            </w:r>
          </w:p>
        </w:tc>
        <w:tc>
          <w:tcPr>
            <w:tcW w:w="7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减轻行政处罚的情形</w:t>
            </w:r>
          </w:p>
        </w:tc>
        <w:tc>
          <w:tcPr>
            <w:tcW w:w="15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减轻行政处罚的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依据</w:t>
            </w:r>
          </w:p>
        </w:tc>
        <w:tc>
          <w:tcPr>
            <w:tcW w:w="7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裁量幅度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后续监管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措施</w:t>
            </w:r>
          </w:p>
        </w:tc>
        <w:tc>
          <w:tcPr>
            <w:tcW w:w="2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权力层级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广告监管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对在广告中使用或者变相使用国家机关、国家机关工作人员的名义或者形象的行为的处罚</w:t>
            </w:r>
          </w:p>
        </w:tc>
        <w:tc>
          <w:tcPr>
            <w:tcW w:w="7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首次实施此类违法行为；未直接指向所推销的商品或者服务，所述事项与实际情况相符；及时改正，主动消除或者减轻危害后果</w:t>
            </w:r>
          </w:p>
        </w:tc>
        <w:tc>
          <w:tcPr>
            <w:tcW w:w="15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1.《广告法》第九条第二项“广告不得有下列情形：（二）使用或者变相使用国家机关、国家机关工作人员的名义或者形象；”2.裁量依据（如有）</w:t>
            </w:r>
          </w:p>
        </w:tc>
        <w:tc>
          <w:tcPr>
            <w:tcW w:w="7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处20万元以下罚款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责令撤下相关广告</w:t>
            </w:r>
          </w:p>
        </w:tc>
        <w:tc>
          <w:tcPr>
            <w:tcW w:w="2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tabs>
          <w:tab w:val="left" w:pos="7863"/>
        </w:tabs>
        <w:autoSpaceDE w:val="0"/>
        <w:autoSpaceDN/>
        <w:spacing w:line="6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tabs>
          <w:tab w:val="left" w:pos="7863"/>
        </w:tabs>
        <w:autoSpaceDE w:val="0"/>
        <w:autoSpaceDN/>
        <w:spacing w:line="6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tabs>
          <w:tab w:val="left" w:pos="7863"/>
        </w:tabs>
        <w:autoSpaceDE w:val="0"/>
        <w:autoSpaceDN/>
        <w:spacing w:line="60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tabs>
          <w:tab w:val="left" w:pos="7863"/>
        </w:tabs>
        <w:autoSpaceDE w:val="0"/>
        <w:autoSpaceDN/>
        <w:spacing w:line="600" w:lineRule="atLeast"/>
        <w:ind w:right="0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  <w:t>不予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行政强制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eastAsia="zh-CN"/>
        </w:rPr>
        <w:t>事项清单</w:t>
      </w:r>
    </w:p>
    <w:p>
      <w:pPr>
        <w:pStyle w:val="7"/>
        <w:keepNext w:val="0"/>
        <w:keepLines w:val="0"/>
        <w:widowControl/>
        <w:suppressLineNumbers w:val="0"/>
        <w:autoSpaceDE w:val="0"/>
        <w:autoSpaceDN/>
        <w:spacing w:line="600" w:lineRule="atLeast"/>
        <w:ind w:right="0"/>
        <w:jc w:val="both"/>
      </w:pPr>
      <w:r>
        <w:rPr>
          <w:rFonts w:hint="eastAsia" w:ascii="仿宋_GB2312" w:eastAsia="仿宋_GB2312" w:cs="仿宋_GB2312"/>
          <w:sz w:val="30"/>
          <w:szCs w:val="30"/>
        </w:rPr>
        <w:t>单位：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  （加盖公章） </w:t>
      </w:r>
      <w:r>
        <w:rPr>
          <w:rFonts w:hint="eastAsia" w:ascii="仿宋_GB2312" w:eastAsia="仿宋_GB2312" w:cs="仿宋_GB2312"/>
          <w:sz w:val="30"/>
          <w:szCs w:val="30"/>
        </w:rPr>
        <w:t> </w:t>
      </w:r>
    </w:p>
    <w:tbl>
      <w:tblPr>
        <w:tblStyle w:val="8"/>
        <w:tblW w:w="1398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"/>
        <w:gridCol w:w="693"/>
        <w:gridCol w:w="2022"/>
        <w:gridCol w:w="2055"/>
        <w:gridCol w:w="6435"/>
        <w:gridCol w:w="1395"/>
        <w:gridCol w:w="7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2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2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管理领域</w:t>
            </w:r>
          </w:p>
        </w:tc>
        <w:tc>
          <w:tcPr>
            <w:tcW w:w="7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不予行政强制事项</w:t>
            </w:r>
          </w:p>
        </w:tc>
        <w:tc>
          <w:tcPr>
            <w:tcW w:w="7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不予行政强制的情形</w:t>
            </w:r>
          </w:p>
        </w:tc>
        <w:tc>
          <w:tcPr>
            <w:tcW w:w="23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不予行政强制的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依据</w:t>
            </w:r>
          </w:p>
        </w:tc>
        <w:tc>
          <w:tcPr>
            <w:tcW w:w="4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后续监管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措施</w:t>
            </w:r>
          </w:p>
        </w:tc>
        <w:tc>
          <w:tcPr>
            <w:tcW w:w="2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权力层级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7" w:hRule="atLeast"/>
        </w:trPr>
        <w:tc>
          <w:tcPr>
            <w:tcW w:w="2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道路运输监管</w:t>
            </w:r>
          </w:p>
        </w:tc>
        <w:tc>
          <w:tcPr>
            <w:tcW w:w="7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对没有《道路运输证》又无法当场提供其他有效证明的车辆予以暂扣</w:t>
            </w:r>
          </w:p>
        </w:tc>
        <w:tc>
          <w:tcPr>
            <w:tcW w:w="7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经营者已经取得相应许可、能在新系统中查询到车辆营运证信息或者其他有效证明，配合调查的</w:t>
            </w:r>
          </w:p>
        </w:tc>
        <w:tc>
          <w:tcPr>
            <w:tcW w:w="23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《道路运输条例》第六十二条“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县级以上人民政府交通运输主管部门的工作人员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在实施道路运输监督检查过程中，对没有车辆营运证又无法当场提供其他有效证明的车辆予以暂扣的，应当妥善保管，不得使用，不得收取或者变相收取保管费用。”</w:t>
            </w:r>
          </w:p>
        </w:tc>
        <w:tc>
          <w:tcPr>
            <w:tcW w:w="4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批评教育</w:t>
            </w:r>
          </w:p>
        </w:tc>
        <w:tc>
          <w:tcPr>
            <w:tcW w:w="2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autoSpaceDE w:val="0"/>
        <w:autoSpaceDN/>
        <w:spacing w:line="405" w:lineRule="atLeast"/>
        <w:ind w:right="0"/>
        <w:jc w:val="both"/>
        <w:rPr>
          <w:rFonts w:hint="eastAsia"/>
        </w:rPr>
      </w:pPr>
    </w:p>
    <w:sectPr>
      <w:footerReference r:id="rId3" w:type="default"/>
      <w:pgSz w:w="16838" w:h="11906" w:orient="landscape"/>
      <w:pgMar w:top="1701" w:right="1134" w:bottom="1134" w:left="1134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FB4EC"/>
    <w:rsid w:val="1DCB9DC2"/>
    <w:rsid w:val="27A72936"/>
    <w:rsid w:val="377FA90F"/>
    <w:rsid w:val="3DF9B2EC"/>
    <w:rsid w:val="3EAB0813"/>
    <w:rsid w:val="3EEF7818"/>
    <w:rsid w:val="3F356CCC"/>
    <w:rsid w:val="3FBF2F38"/>
    <w:rsid w:val="3FFB85DE"/>
    <w:rsid w:val="41D770D8"/>
    <w:rsid w:val="4B7FE23B"/>
    <w:rsid w:val="4DDB845F"/>
    <w:rsid w:val="4EFB2DDD"/>
    <w:rsid w:val="57FC672F"/>
    <w:rsid w:val="58DC00C6"/>
    <w:rsid w:val="5FCDCF88"/>
    <w:rsid w:val="5FE92865"/>
    <w:rsid w:val="5FEFD220"/>
    <w:rsid w:val="67FB0A88"/>
    <w:rsid w:val="6D6F6B9D"/>
    <w:rsid w:val="6FFED84E"/>
    <w:rsid w:val="757E0462"/>
    <w:rsid w:val="773E7F3E"/>
    <w:rsid w:val="776B10DB"/>
    <w:rsid w:val="79DEB562"/>
    <w:rsid w:val="7A37B099"/>
    <w:rsid w:val="7D57CA7A"/>
    <w:rsid w:val="7DBAE1B0"/>
    <w:rsid w:val="7DD53F15"/>
    <w:rsid w:val="7DF5CC11"/>
    <w:rsid w:val="7FFD1E7B"/>
    <w:rsid w:val="7FFF379F"/>
    <w:rsid w:val="839B948B"/>
    <w:rsid w:val="ABB649AB"/>
    <w:rsid w:val="AE7F332E"/>
    <w:rsid w:val="AF8D6CED"/>
    <w:rsid w:val="B17F9E52"/>
    <w:rsid w:val="B5DF4557"/>
    <w:rsid w:val="BABDD81D"/>
    <w:rsid w:val="BC79FB01"/>
    <w:rsid w:val="BC7BC844"/>
    <w:rsid w:val="BCDF54CD"/>
    <w:rsid w:val="BFEFCD96"/>
    <w:rsid w:val="CFBF2CA8"/>
    <w:rsid w:val="DDDE2D95"/>
    <w:rsid w:val="DDE3DE7C"/>
    <w:rsid w:val="DFDDB8FE"/>
    <w:rsid w:val="EA77648E"/>
    <w:rsid w:val="EF3FAA21"/>
    <w:rsid w:val="EF7BD95D"/>
    <w:rsid w:val="EF7F6F9D"/>
    <w:rsid w:val="EFAF5A97"/>
    <w:rsid w:val="EFFAB7C2"/>
    <w:rsid w:val="F59DAA25"/>
    <w:rsid w:val="F7F8B23E"/>
    <w:rsid w:val="F98EBBC2"/>
    <w:rsid w:val="FB93739A"/>
    <w:rsid w:val="FBBFADFD"/>
    <w:rsid w:val="FEFE6F4E"/>
    <w:rsid w:val="FF441DD4"/>
    <w:rsid w:val="FF5FEAAE"/>
    <w:rsid w:val="FF7E4F2D"/>
    <w:rsid w:val="FFF7A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line="560" w:lineRule="exact"/>
      <w:textAlignment w:val="baseline"/>
    </w:pPr>
    <w:rPr>
      <w:rFonts w:ascii="Calibri" w:hAnsi="Calibri"/>
      <w:b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1638</Words>
  <Characters>1688</Characters>
  <Lines>0</Lines>
  <Paragraphs>0</Paragraphs>
  <TotalTime>5.33333333333333</TotalTime>
  <ScaleCrop>false</ScaleCrop>
  <LinksUpToDate>false</LinksUpToDate>
  <CharactersWithSpaces>1729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zpc01</cp:lastModifiedBy>
  <cp:lastPrinted>2023-07-19T12:36:31Z</cp:lastPrinted>
  <dcterms:modified xsi:type="dcterms:W3CDTF">2023-04-19T11:50:31Z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F7DB3B9FE81F48E1883FE9D3155AA3BB_13</vt:lpwstr>
  </property>
</Properties>
</file>