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600" w:lineRule="exact"/>
        <w:rPr>
          <w:rFonts w:ascii="宋体" w:eastAsia="宋体"/>
          <w:sz w:val="32"/>
          <w:szCs w:val="32"/>
        </w:rPr>
      </w:pPr>
    </w:p>
    <w:p>
      <w:pPr>
        <w:spacing w:after="0" w:line="600" w:lineRule="exact"/>
        <w:rPr>
          <w:rFonts w:ascii="宋体" w:eastAsia="宋体"/>
          <w:sz w:val="44"/>
          <w:szCs w:val="44"/>
        </w:rPr>
      </w:pPr>
    </w:p>
    <w:p>
      <w:pPr>
        <w:spacing w:after="0" w:line="600" w:lineRule="exact"/>
        <w:rPr>
          <w:rFonts w:ascii="宋体" w:eastAsia="宋体"/>
          <w:sz w:val="44"/>
          <w:szCs w:val="44"/>
        </w:rPr>
      </w:pPr>
    </w:p>
    <w:p>
      <w:pPr>
        <w:spacing w:after="0" w:line="600" w:lineRule="exact"/>
        <w:rPr>
          <w:rFonts w:ascii="宋体" w:eastAsia="宋体"/>
          <w:sz w:val="44"/>
          <w:szCs w:val="44"/>
        </w:rPr>
      </w:pPr>
    </w:p>
    <w:p>
      <w:pPr>
        <w:widowControl w:val="0"/>
        <w:spacing w:after="0" w:line="640" w:lineRule="exact"/>
        <w:jc w:val="center"/>
        <w:rPr>
          <w:rFonts w:ascii="方正小标宋_GBK" w:hAnsi="宋体" w:eastAsia="方正小标宋_GBK" w:cs="Times New Roman"/>
          <w:kern w:val="2"/>
          <w:sz w:val="44"/>
          <w:szCs w:val="44"/>
          <w:lang w:eastAsia="zh-CN"/>
        </w:rPr>
      </w:pPr>
      <w:r>
        <w:rPr>
          <w:rFonts w:ascii="方正小标宋_GBK" w:hAnsi="宋体" w:eastAsia="方正小标宋_GBK" w:cs="Times New Roman"/>
          <w:kern w:val="2"/>
          <w:sz w:val="44"/>
          <w:szCs w:val="44"/>
          <w:lang w:eastAsia="zh-CN"/>
        </w:rPr>
        <w:t>新疆维吾尔自治区法治研究和宣传中心</w:t>
      </w:r>
    </w:p>
    <w:p>
      <w:pPr>
        <w:widowControl w:val="0"/>
        <w:spacing w:after="0" w:line="640" w:lineRule="exact"/>
        <w:jc w:val="center"/>
        <w:rPr>
          <w:rFonts w:ascii="方正小标宋_GBK" w:hAnsi="宋体" w:eastAsia="方正小标宋_GBK" w:cs="Times New Roman"/>
          <w:kern w:val="2"/>
          <w:sz w:val="44"/>
          <w:szCs w:val="44"/>
          <w:lang w:eastAsia="zh-CN"/>
        </w:rPr>
      </w:pPr>
      <w:r>
        <w:rPr>
          <w:rFonts w:ascii="方正小标宋_GBK" w:hAnsi="宋体" w:eastAsia="方正小标宋_GBK" w:cs="Times New Roman"/>
          <w:kern w:val="2"/>
          <w:sz w:val="44"/>
          <w:szCs w:val="44"/>
          <w:lang w:eastAsia="zh-CN"/>
        </w:rPr>
        <w:t>2025年度部门决算公开说明</w:t>
      </w:r>
    </w:p>
    <w:p>
      <w:pPr>
        <w:spacing w:line="600" w:lineRule="exact"/>
        <w:rPr>
          <w:lang w:eastAsia="zh-CN"/>
        </w:rPr>
      </w:pPr>
      <w:r>
        <w:rPr>
          <w:sz w:val="0"/>
          <w:szCs w:val="0"/>
          <w:lang w:eastAsia="zh-CN"/>
        </w:rPr>
        <w:br w:type="page"/>
      </w:r>
    </w:p>
    <w:p>
      <w:pPr>
        <w:spacing w:after="0" w:line="600" w:lineRule="exact"/>
        <w:jc w:val="center"/>
        <w:rPr>
          <w:rFonts w:ascii="黑体" w:eastAsia="黑体"/>
          <w:sz w:val="32"/>
          <w:szCs w:val="32"/>
          <w:lang w:eastAsia="zh-CN"/>
        </w:rPr>
      </w:pPr>
      <w:r>
        <w:rPr>
          <w:rFonts w:ascii="黑体" w:eastAsia="黑体"/>
          <w:b/>
          <w:sz w:val="32"/>
          <w:szCs w:val="32"/>
          <w:lang w:eastAsia="zh-CN"/>
        </w:rPr>
        <w:t>目 录</w:t>
      </w:r>
    </w:p>
    <w:p>
      <w:pPr>
        <w:spacing w:after="0" w:line="600" w:lineRule="exact"/>
        <w:rPr>
          <w:rFonts w:ascii="仿宋_GB2312" w:eastAsia="仿宋_GB2312"/>
          <w:sz w:val="32"/>
          <w:szCs w:val="32"/>
          <w:lang w:eastAsia="zh-CN"/>
        </w:rPr>
      </w:pPr>
      <w:r>
        <w:rPr>
          <w:rFonts w:ascii="仿宋_GB2312" w:eastAsia="仿宋_GB2312"/>
          <w:b/>
          <w:sz w:val="32"/>
          <w:szCs w:val="32"/>
          <w:lang w:eastAsia="zh-CN"/>
        </w:rPr>
        <w:t>第一部分单位概况</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一、主要职能</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二、机构设置</w:t>
      </w:r>
    </w:p>
    <w:p>
      <w:pPr>
        <w:spacing w:after="0" w:line="600" w:lineRule="exact"/>
        <w:rPr>
          <w:rFonts w:ascii="仿宋_GB2312" w:eastAsia="仿宋_GB2312"/>
          <w:sz w:val="32"/>
          <w:szCs w:val="32"/>
          <w:lang w:eastAsia="zh-CN"/>
        </w:rPr>
      </w:pPr>
      <w:r>
        <w:rPr>
          <w:rFonts w:ascii="仿宋_GB2312" w:eastAsia="仿宋_GB2312"/>
          <w:b/>
          <w:sz w:val="32"/>
          <w:szCs w:val="32"/>
          <w:lang w:eastAsia="zh-CN"/>
        </w:rPr>
        <w:t>第二部分 部门决算情况说明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一、收入支出决算总体情况说明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二、收入决算情况说明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三、支出决算情况说明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四、财政拨款收入支出决算总体情况说明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五、一般公共预算财政拨款支出决算情况说明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（一）一般公共预算财政拨款支出决算总体情况</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（二）一般公共预算财政拨款支出决算结构情况</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（三）一般公共预算财政拨款支出决算具体情况</w:t>
      </w:r>
    </w:p>
    <w:p>
      <w:pPr>
        <w:spacing w:after="0" w:line="600" w:lineRule="exact"/>
        <w:rPr>
          <w:rFonts w:ascii="仿宋_GB2312" w:eastAsia="仿宋_GB2312"/>
          <w:sz w:val="32"/>
          <w:szCs w:val="32"/>
          <w:lang w:eastAsia="zh-CN"/>
        </w:rPr>
      </w:pPr>
      <w:r>
        <w:rPr>
          <w:rFonts w:ascii="仿宋_GB2312" w:eastAsia="仿宋_GB2312"/>
          <w:sz w:val="32"/>
          <w:szCs w:val="32"/>
          <w:lang w:eastAsia="zh-CN"/>
        </w:rPr>
        <w:t>六、一般公共预算财政拨款基本支出决算情况说明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七、政府性基金预算财政拨款收入支出决算情况说明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八、国有资本经营预算财政拨款收入支出决算情况说明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九、财政拨款“三公”经费支出决算情况说明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十、其他重要事项的情况说明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（一）机关运行经费及公用经费支出情况</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（二）政府采购情况</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（三）国有资产占用情况说明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十一、预算绩效的情况说明</w:t>
      </w:r>
    </w:p>
    <w:p>
      <w:pPr>
        <w:spacing w:after="0" w:line="600" w:lineRule="exact"/>
        <w:rPr>
          <w:rFonts w:ascii="仿宋_GB2312" w:eastAsia="仿宋_GB2312"/>
          <w:sz w:val="32"/>
          <w:szCs w:val="32"/>
          <w:lang w:eastAsia="zh-CN"/>
        </w:rPr>
      </w:pPr>
      <w:r>
        <w:rPr>
          <w:rFonts w:ascii="仿宋_GB2312" w:eastAsia="仿宋_GB2312"/>
          <w:sz w:val="32"/>
          <w:szCs w:val="32"/>
          <w:lang w:eastAsia="zh-CN"/>
        </w:rPr>
        <w:t>十二、其他需说明的事项</w:t>
      </w:r>
    </w:p>
    <w:p>
      <w:pPr>
        <w:spacing w:after="0" w:line="600" w:lineRule="exact"/>
        <w:rPr>
          <w:rFonts w:ascii="仿宋_GB2312" w:eastAsia="仿宋_GB2312"/>
          <w:sz w:val="32"/>
          <w:szCs w:val="32"/>
          <w:lang w:eastAsia="zh-CN"/>
        </w:rPr>
      </w:pPr>
      <w:r>
        <w:rPr>
          <w:rFonts w:ascii="仿宋_GB2312" w:eastAsia="仿宋_GB2312"/>
          <w:b/>
          <w:sz w:val="32"/>
          <w:szCs w:val="32"/>
          <w:lang w:eastAsia="zh-CN"/>
        </w:rPr>
        <w:t>第三部分 专业名词解释</w:t>
      </w:r>
    </w:p>
    <w:p>
      <w:pPr>
        <w:spacing w:after="0" w:line="600" w:lineRule="exact"/>
        <w:rPr>
          <w:rFonts w:ascii="仿宋_GB2312" w:eastAsia="仿宋_GB2312"/>
          <w:sz w:val="32"/>
          <w:szCs w:val="32"/>
          <w:lang w:eastAsia="zh-CN"/>
        </w:rPr>
      </w:pPr>
      <w:r>
        <w:rPr>
          <w:rFonts w:ascii="仿宋_GB2312" w:eastAsia="仿宋_GB2312"/>
          <w:b/>
          <w:sz w:val="32"/>
          <w:szCs w:val="32"/>
          <w:lang w:eastAsia="zh-CN"/>
        </w:rPr>
        <w:t>第四部分 部门决算报表（见附表）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一、《收入支出决算总表》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二、《收入决算表》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三、《支出决算表》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四、《财政拨款收入支出决算总表》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五、《一般公共预算财政拨款支出决算表》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六、《一般公共预算财政拨款基本支出决算表》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七、《政府性基金预算财政拨款收入支出决算表》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八、《国有资本经营预算财政拨款收入支出决算表》</w:t>
      </w:r>
    </w:p>
    <w:p>
      <w:pPr>
        <w:spacing w:after="0" w:line="600" w:lineRule="exact"/>
        <w:rPr>
          <w:rFonts w:ascii="仿宋_GB2312" w:eastAsia="仿宋_GB2312"/>
          <w:sz w:val="32"/>
          <w:szCs w:val="32"/>
          <w:lang w:eastAsia="zh-CN"/>
        </w:rPr>
      </w:pPr>
      <w:r>
        <w:rPr>
          <w:rFonts w:ascii="仿宋_GB2312" w:eastAsia="仿宋_GB2312"/>
          <w:sz w:val="32"/>
          <w:szCs w:val="32"/>
          <w:lang w:eastAsia="zh-CN"/>
        </w:rPr>
        <w:t>九、《财政拨款“三公”经费支出决算表》</w:t>
      </w:r>
    </w:p>
    <w:p>
      <w:pPr>
        <w:spacing w:line="600" w:lineRule="exact"/>
        <w:rPr>
          <w:lang w:eastAsia="zh-CN"/>
        </w:rPr>
      </w:pPr>
      <w:r>
        <w:rPr>
          <w:sz w:val="0"/>
          <w:szCs w:val="0"/>
          <w:lang w:eastAsia="zh-CN"/>
        </w:rPr>
        <w:br w:type="page"/>
      </w:r>
    </w:p>
    <w:p>
      <w:pPr>
        <w:spacing w:after="0" w:line="600" w:lineRule="exact"/>
        <w:jc w:val="center"/>
        <w:outlineLvl w:val="0"/>
        <w:rPr>
          <w:rFonts w:ascii="黑体" w:eastAsia="黑体"/>
          <w:sz w:val="32"/>
          <w:szCs w:val="32"/>
          <w:lang w:eastAsia="zh-CN"/>
        </w:rPr>
      </w:pPr>
      <w:r>
        <w:rPr>
          <w:rFonts w:ascii="黑体" w:eastAsia="黑体"/>
          <w:sz w:val="32"/>
          <w:szCs w:val="32"/>
          <w:lang w:eastAsia="zh-CN"/>
        </w:rPr>
        <w:t>第一部分</w:t>
      </w:r>
      <w:r>
        <w:rPr>
          <w:rFonts w:hint="eastAsia" w:ascii="黑体" w:eastAsia="黑体"/>
          <w:sz w:val="32"/>
          <w:szCs w:val="32"/>
          <w:lang w:eastAsia="zh-CN"/>
        </w:rPr>
        <w:t xml:space="preserve"> </w:t>
      </w:r>
      <w:r>
        <w:rPr>
          <w:rFonts w:ascii="黑体" w:eastAsia="黑体"/>
          <w:sz w:val="32"/>
          <w:szCs w:val="32"/>
          <w:lang w:eastAsia="zh-CN"/>
        </w:rPr>
        <w:t>单位概况</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一、主要职能</w:t>
      </w:r>
    </w:p>
    <w:p>
      <w:pPr>
        <w:spacing w:after="0" w:line="56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不予公开。</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二、机构设置</w:t>
      </w:r>
    </w:p>
    <w:p>
      <w:pPr>
        <w:spacing w:line="600" w:lineRule="exact"/>
        <w:ind w:firstLine="640" w:firstLineChars="200"/>
        <w:rPr>
          <w:lang w:eastAsia="zh-CN"/>
        </w:rPr>
      </w:pPr>
      <w:r>
        <w:rPr>
          <w:rFonts w:ascii="仿宋_GB2312" w:eastAsia="仿宋_GB2312"/>
          <w:sz w:val="32"/>
          <w:szCs w:val="32"/>
          <w:lang w:eastAsia="zh-CN"/>
        </w:rPr>
        <w:t>新疆维吾尔自治区法治研究和宣传中心无下属预算单位。</w:t>
      </w:r>
      <w:r>
        <w:rPr>
          <w:sz w:val="0"/>
          <w:szCs w:val="0"/>
          <w:highlight w:val="yellow"/>
          <w:lang w:eastAsia="zh-CN"/>
        </w:rPr>
        <w:br w:type="page"/>
      </w:r>
    </w:p>
    <w:p>
      <w:pPr>
        <w:spacing w:after="0" w:line="600" w:lineRule="exact"/>
        <w:jc w:val="center"/>
        <w:outlineLvl w:val="0"/>
        <w:rPr>
          <w:rFonts w:ascii="黑体" w:eastAsia="黑体"/>
          <w:sz w:val="32"/>
          <w:szCs w:val="32"/>
          <w:lang w:eastAsia="zh-CN"/>
        </w:rPr>
      </w:pPr>
      <w:r>
        <w:rPr>
          <w:rFonts w:ascii="黑体" w:eastAsia="黑体"/>
          <w:sz w:val="32"/>
          <w:szCs w:val="32"/>
          <w:lang w:eastAsia="zh-CN"/>
        </w:rPr>
        <w:t>第二部分 部门决算情况说明</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一、收入支出决算总体情况说明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2025年度收入总计282.11万元，其中：本年收入合计263.16万元，使用非财政拨款结余（含专用结余）0.00万元，年初结转和结余18.95万元。</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2025年度支出总计282.11万元，其中：本年支出合计264.02万元，结余分配0.00万元，年末结转和结余18.09万元。</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收入支出总体与上年相比，减少25.27万元，下降8.22%，主要原因是：</w:t>
      </w:r>
      <w:r>
        <w:rPr>
          <w:rFonts w:hint="eastAsia" w:ascii="仿宋_GB2312" w:eastAsia="仿宋_GB2312"/>
          <w:sz w:val="32"/>
          <w:szCs w:val="32"/>
          <w:lang w:eastAsia="zh-CN"/>
        </w:rPr>
        <w:t>本单位机构改革后，人员变动，调出、辞职多于调入人员，人员及公用经费减少。</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二、收入决算情况说明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本年收入263.16万元，其中：财政拨款收入263.16万元,占100.00%；上级补助收入0.00万元,占0.00%；事业收入0.00万元，占0.00%；经营收入0.00万元,占0.00%；附属单位上缴收入0.00万元，占0.00%；其他收入0.00万元，占0.00%。</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三、支出决算情况说明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本年支出264.02万元，其中：基本支出251.02万元，占95.08%；项目支出13.00万元，占4.92%；上缴上级支出0.00万元，占0.00%；经营支出0.00万元，占0.00%；对附属单位补助支出0.00万元，占0.00%。</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四、财政拨款收入支出决算总体情况说明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2025年度财政拨款收入总计263.16万元，其中：年初财政拨款结转和结余0.00万元，本年财政拨款收入263.16万元。财政拨款支出总计263.16万元，其中：年末财政拨款结转和结余0.00万元，本年财政拨款支出263.16万元。</w:t>
      </w:r>
    </w:p>
    <w:p>
      <w:pPr>
        <w:spacing w:after="0" w:line="600" w:lineRule="exact"/>
        <w:ind w:firstLine="640" w:firstLineChars="200"/>
        <w:jc w:val="both"/>
        <w:rPr>
          <w:rFonts w:ascii="仿宋_GB2312" w:eastAsia="仿宋_GB2312"/>
          <w:color w:val="auto"/>
          <w:sz w:val="32"/>
          <w:szCs w:val="32"/>
          <w:lang w:eastAsia="zh-CN"/>
        </w:rPr>
      </w:pPr>
      <w:r>
        <w:rPr>
          <w:rFonts w:ascii="仿宋_GB2312" w:eastAsia="仿宋_GB2312"/>
          <w:color w:val="auto"/>
          <w:sz w:val="32"/>
          <w:szCs w:val="32"/>
          <w:lang w:eastAsia="zh-CN"/>
        </w:rPr>
        <w:t>财政拨款收入支出总体与上年相比，减少22.91万元，下降8.01%，主要原因是：</w:t>
      </w:r>
      <w:r>
        <w:rPr>
          <w:rFonts w:hint="eastAsia" w:ascii="仿宋_GB2312" w:eastAsia="仿宋_GB2312"/>
          <w:color w:val="auto"/>
          <w:sz w:val="32"/>
          <w:szCs w:val="32"/>
          <w:lang w:eastAsia="zh-CN"/>
        </w:rPr>
        <w:t>本单位机构改革后，人员变动，调出、辞职多于调入人员，人员及公用经费减少</w:t>
      </w:r>
      <w:r>
        <w:rPr>
          <w:rFonts w:ascii="仿宋_GB2312" w:eastAsia="仿宋_GB2312"/>
          <w:color w:val="auto"/>
          <w:sz w:val="32"/>
          <w:szCs w:val="32"/>
          <w:lang w:eastAsia="zh-CN"/>
        </w:rPr>
        <w:t>。与年初预算相比，年初预算数269.15万元，决算数263.16万元，预决算差异率-2.23%，主要原因是：</w:t>
      </w:r>
      <w:r>
        <w:rPr>
          <w:rFonts w:hint="eastAsia" w:ascii="仿宋_GB2312" w:eastAsia="仿宋_GB2312"/>
          <w:color w:val="auto"/>
          <w:sz w:val="32"/>
          <w:szCs w:val="32"/>
          <w:lang w:eastAsia="zh-CN"/>
        </w:rPr>
        <w:t>本单位机构改革后，人员变动，调出、辞职多于调入人员，人员及公用经费减少</w:t>
      </w:r>
      <w:r>
        <w:rPr>
          <w:rFonts w:ascii="仿宋_GB2312" w:eastAsia="仿宋_GB2312"/>
          <w:color w:val="auto"/>
          <w:sz w:val="32"/>
          <w:szCs w:val="32"/>
          <w:lang w:eastAsia="zh-CN"/>
        </w:rPr>
        <w:t>。</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五、一般公共预算财政拨款支出决算情况说明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按照党中央、国务院关于党政机关习惯过紧日子的有关要求，厉行节约办一切事业，严控一般性支出。同时坚持有保有压，优化支出结构，提高资金使用效率，合理保障</w:t>
      </w:r>
      <w:r>
        <w:rPr>
          <w:rFonts w:hint="eastAsia" w:ascii="仿宋_GB2312" w:eastAsia="仿宋_GB2312"/>
          <w:sz w:val="32"/>
          <w:szCs w:val="32"/>
          <w:lang w:eastAsia="zh-CN"/>
        </w:rPr>
        <w:t>机构运行</w:t>
      </w:r>
      <w:r>
        <w:rPr>
          <w:rFonts w:ascii="仿宋_GB2312" w:eastAsia="仿宋_GB2312"/>
          <w:sz w:val="32"/>
          <w:szCs w:val="32"/>
          <w:lang w:eastAsia="zh-CN"/>
        </w:rPr>
        <w:t>、</w:t>
      </w:r>
      <w:r>
        <w:rPr>
          <w:rFonts w:hint="eastAsia" w:ascii="仿宋_GB2312" w:eastAsia="仿宋_GB2312"/>
          <w:sz w:val="32"/>
          <w:szCs w:val="32"/>
          <w:lang w:eastAsia="zh-CN"/>
        </w:rPr>
        <w:t>公共服务</w:t>
      </w:r>
      <w:r>
        <w:rPr>
          <w:rFonts w:ascii="仿宋_GB2312" w:eastAsia="仿宋_GB2312"/>
          <w:sz w:val="32"/>
          <w:szCs w:val="32"/>
          <w:lang w:eastAsia="zh-CN"/>
        </w:rPr>
        <w:t>等重点支出，体现在有关支出科目中。</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按照支出功能分类，公共安全支出（类）司法（款）事业运行（项）的支出占本年财政拨款支出总额的比重最高，2025年度决算数为176.71万元，占比67.15%，主要用于</w:t>
      </w:r>
      <w:r>
        <w:rPr>
          <w:rFonts w:hint="eastAsia" w:ascii="仿宋_GB2312" w:eastAsia="仿宋_GB2312"/>
          <w:sz w:val="32"/>
          <w:szCs w:val="32"/>
          <w:lang w:eastAsia="zh-CN"/>
        </w:rPr>
        <w:t>人员工资福利、日常公用经费 。</w:t>
      </w:r>
    </w:p>
    <w:p>
      <w:pPr>
        <w:spacing w:after="0" w:line="600" w:lineRule="exact"/>
        <w:ind w:firstLine="640" w:firstLineChars="200"/>
        <w:jc w:val="both"/>
        <w:outlineLvl w:val="2"/>
        <w:rPr>
          <w:rFonts w:ascii="黑体" w:eastAsia="黑体"/>
          <w:sz w:val="32"/>
          <w:szCs w:val="32"/>
          <w:lang w:eastAsia="zh-CN"/>
        </w:rPr>
      </w:pPr>
      <w:r>
        <w:rPr>
          <w:rFonts w:ascii="黑体" w:eastAsia="黑体"/>
          <w:sz w:val="32"/>
          <w:szCs w:val="32"/>
          <w:lang w:eastAsia="zh-CN"/>
        </w:rPr>
        <w:t>（一）一般公共预算财政拨款支出决算总体情况</w:t>
      </w:r>
    </w:p>
    <w:p>
      <w:pPr>
        <w:spacing w:after="0" w:line="600" w:lineRule="exact"/>
        <w:ind w:firstLine="640" w:firstLineChars="200"/>
        <w:jc w:val="both"/>
        <w:rPr>
          <w:rFonts w:ascii="仿宋_GB2312" w:eastAsia="仿宋_GB2312"/>
          <w:color w:val="auto"/>
          <w:sz w:val="32"/>
          <w:szCs w:val="32"/>
          <w:lang w:eastAsia="zh-CN"/>
        </w:rPr>
      </w:pPr>
      <w:r>
        <w:rPr>
          <w:rFonts w:ascii="仿宋_GB2312" w:eastAsia="仿宋_GB2312"/>
          <w:sz w:val="32"/>
          <w:szCs w:val="32"/>
          <w:lang w:eastAsia="zh-CN"/>
        </w:rPr>
        <w:t>2025年度一般公共预算财政拨款支出263.16万元，占本年支出合计的99.67%。</w:t>
      </w:r>
      <w:r>
        <w:rPr>
          <w:rFonts w:ascii="仿宋_GB2312" w:eastAsia="仿宋_GB2312"/>
          <w:color w:val="auto"/>
          <w:sz w:val="32"/>
          <w:szCs w:val="32"/>
          <w:lang w:eastAsia="zh-CN"/>
        </w:rPr>
        <w:t>与上年相比，减少22.91万元，下降8.01%，主要原因是：</w:t>
      </w:r>
      <w:r>
        <w:rPr>
          <w:rFonts w:hint="eastAsia" w:ascii="仿宋_GB2312" w:eastAsia="仿宋_GB2312"/>
          <w:color w:val="auto"/>
          <w:sz w:val="32"/>
          <w:szCs w:val="32"/>
          <w:lang w:eastAsia="zh-CN"/>
        </w:rPr>
        <w:t>本单位机构改革后，人员变动，调出、辞职多于调入人员，人员及公用经费减少</w:t>
      </w:r>
      <w:r>
        <w:rPr>
          <w:rFonts w:ascii="仿宋_GB2312" w:eastAsia="仿宋_GB2312"/>
          <w:color w:val="auto"/>
          <w:sz w:val="32"/>
          <w:szCs w:val="32"/>
          <w:lang w:eastAsia="zh-CN"/>
        </w:rPr>
        <w:t>。与年初预算相比，年初预算数269.15万元，决算数263.16万元，预决算差异率-2.23%，主要原因是：</w:t>
      </w:r>
      <w:r>
        <w:rPr>
          <w:rFonts w:hint="eastAsia" w:ascii="仿宋_GB2312" w:eastAsia="仿宋_GB2312"/>
          <w:color w:val="auto"/>
          <w:sz w:val="32"/>
          <w:szCs w:val="32"/>
          <w:lang w:eastAsia="zh-CN"/>
        </w:rPr>
        <w:t>本单位机构改革后，人员变动，调出、辞职多于调入人员，人员及公用经费减少</w:t>
      </w:r>
      <w:r>
        <w:rPr>
          <w:rFonts w:ascii="仿宋_GB2312" w:eastAsia="仿宋_GB2312"/>
          <w:color w:val="auto"/>
          <w:sz w:val="32"/>
          <w:szCs w:val="32"/>
          <w:lang w:eastAsia="zh-CN"/>
        </w:rPr>
        <w:t>。</w:t>
      </w:r>
    </w:p>
    <w:p>
      <w:pPr>
        <w:spacing w:after="0" w:line="600" w:lineRule="exact"/>
        <w:ind w:firstLine="640" w:firstLineChars="200"/>
        <w:outlineLvl w:val="2"/>
        <w:rPr>
          <w:rFonts w:ascii="黑体" w:eastAsia="黑体"/>
          <w:sz w:val="32"/>
          <w:szCs w:val="32"/>
          <w:lang w:eastAsia="zh-CN"/>
        </w:rPr>
      </w:pPr>
      <w:r>
        <w:rPr>
          <w:rFonts w:ascii="黑体" w:eastAsia="黑体"/>
          <w:sz w:val="32"/>
          <w:szCs w:val="32"/>
          <w:lang w:eastAsia="zh-CN"/>
        </w:rPr>
        <w:t>（二）一般公共预算财政拨款支出决算结构情况</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1.公共安全支出（类）189.71万元，占72.09%。</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2.社会保障和就业支出（类）35.64万元，占13.54%。</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3.卫生健康支出（类）21.73万元，占8.26%。</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4.住房保障支出（类）16.08万元，占6.11%。</w:t>
      </w:r>
    </w:p>
    <w:p>
      <w:pPr>
        <w:spacing w:after="0" w:line="600" w:lineRule="exact"/>
        <w:ind w:firstLine="640" w:firstLineChars="200"/>
        <w:outlineLvl w:val="2"/>
        <w:rPr>
          <w:rFonts w:ascii="黑体" w:eastAsia="黑体"/>
          <w:sz w:val="32"/>
          <w:szCs w:val="32"/>
          <w:lang w:eastAsia="zh-CN"/>
        </w:rPr>
      </w:pPr>
      <w:r>
        <w:rPr>
          <w:rFonts w:ascii="黑体" w:eastAsia="黑体"/>
          <w:sz w:val="32"/>
          <w:szCs w:val="32"/>
          <w:lang w:eastAsia="zh-CN"/>
        </w:rPr>
        <w:t>（三）一般公共预算财政拨款支出决算具体情况</w:t>
      </w:r>
    </w:p>
    <w:p>
      <w:pPr>
        <w:spacing w:after="0" w:line="600" w:lineRule="exact"/>
        <w:ind w:firstLine="640" w:firstLineChars="200"/>
        <w:jc w:val="both"/>
        <w:rPr>
          <w:rFonts w:ascii="仿宋_GB2312" w:eastAsia="仿宋_GB2312"/>
          <w:sz w:val="32"/>
          <w:szCs w:val="32"/>
          <w:highlight w:val="yellow"/>
          <w:lang w:eastAsia="zh-CN"/>
        </w:rPr>
      </w:pPr>
      <w:r>
        <w:rPr>
          <w:rFonts w:ascii="仿宋_GB2312" w:eastAsia="仿宋_GB2312"/>
          <w:sz w:val="32"/>
          <w:szCs w:val="32"/>
          <w:lang w:eastAsia="zh-CN"/>
        </w:rPr>
        <w:t>1、公共安全支出（类）司法（款）公共法律服务（项）：支出决算数为13.00万元，与上年相比无变化</w:t>
      </w:r>
      <w:r>
        <w:rPr>
          <w:rFonts w:hint="eastAsia" w:ascii="仿宋_GB2312" w:eastAsia="仿宋_GB2312"/>
          <w:sz w:val="32"/>
          <w:szCs w:val="32"/>
          <w:lang w:eastAsia="zh-CN"/>
        </w:rPr>
        <w:t>。</w:t>
      </w:r>
    </w:p>
    <w:p>
      <w:pPr>
        <w:spacing w:after="0" w:line="600" w:lineRule="exact"/>
        <w:ind w:firstLine="640" w:firstLineChars="200"/>
        <w:jc w:val="both"/>
        <w:rPr>
          <w:rFonts w:ascii="仿宋_GB2312" w:eastAsia="仿宋_GB2312"/>
          <w:sz w:val="32"/>
          <w:szCs w:val="32"/>
          <w:highlight w:val="yellow"/>
          <w:lang w:eastAsia="zh-CN"/>
        </w:rPr>
      </w:pPr>
      <w:r>
        <w:rPr>
          <w:rFonts w:ascii="仿宋_GB2312" w:eastAsia="仿宋_GB2312"/>
          <w:sz w:val="32"/>
          <w:szCs w:val="32"/>
          <w:lang w:eastAsia="zh-CN"/>
        </w:rPr>
        <w:t>2、公共安全支出（类）司法（款）事业运行（项）：支出决算数为176.71万元，比上年决算减少28.57万元，下降13.92%，主要原因是：</w:t>
      </w:r>
      <w:r>
        <w:rPr>
          <w:rFonts w:hint="eastAsia" w:ascii="仿宋_GB2312" w:eastAsia="仿宋_GB2312"/>
          <w:sz w:val="32"/>
          <w:szCs w:val="32"/>
          <w:lang w:eastAsia="zh-CN"/>
        </w:rPr>
        <w:t>本单位机构改革后，人员变动，调出、辞职多于调入人员，人员及公用经费减少。</w:t>
      </w:r>
    </w:p>
    <w:p>
      <w:pPr>
        <w:spacing w:after="0" w:line="600" w:lineRule="exact"/>
        <w:ind w:firstLine="640" w:firstLineChars="200"/>
        <w:jc w:val="both"/>
        <w:rPr>
          <w:rFonts w:ascii="仿宋_GB2312" w:eastAsia="仿宋_GB2312"/>
          <w:sz w:val="32"/>
          <w:szCs w:val="32"/>
          <w:highlight w:val="yellow"/>
          <w:lang w:eastAsia="zh-CN"/>
        </w:rPr>
      </w:pPr>
      <w:r>
        <w:rPr>
          <w:rFonts w:ascii="仿宋_GB2312" w:eastAsia="仿宋_GB2312"/>
          <w:sz w:val="32"/>
          <w:szCs w:val="32"/>
          <w:lang w:eastAsia="zh-CN"/>
        </w:rPr>
        <w:t>3、社会保障和就业支出（类）行政事业单位养老支出（款）机关事业单位基本养老保险缴费支出（项）：支出决算数为20.20万元，比上年决算减少5.25万元，下降20.63%，主要原因是：</w:t>
      </w:r>
      <w:r>
        <w:rPr>
          <w:rFonts w:hint="eastAsia" w:ascii="仿宋_GB2312" w:eastAsia="仿宋_GB2312"/>
          <w:sz w:val="32"/>
          <w:szCs w:val="32"/>
          <w:lang w:eastAsia="zh-CN"/>
        </w:rPr>
        <w:t>本单位机构改革后，人员变动，调出、辞职多于调入人员，</w:t>
      </w:r>
      <w:r>
        <w:rPr>
          <w:rFonts w:ascii="仿宋_GB2312" w:eastAsia="仿宋_GB2312"/>
          <w:sz w:val="32"/>
          <w:szCs w:val="32"/>
          <w:lang w:eastAsia="zh-CN"/>
        </w:rPr>
        <w:t>机关事业单位基本养老保险缴费支出</w:t>
      </w:r>
      <w:r>
        <w:rPr>
          <w:rFonts w:hint="eastAsia" w:ascii="仿宋_GB2312" w:eastAsia="仿宋_GB2312"/>
          <w:sz w:val="32"/>
          <w:szCs w:val="32"/>
          <w:lang w:eastAsia="zh-CN"/>
        </w:rPr>
        <w:t>减少。</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4、社会保障和就业支出（类）行政事业单位养老支出（款）机关事业单位职业年金缴费支出（项）：支出决算数为15.44万元，比上年决算增加15.44万元，增长100.00%，主要原因是：</w:t>
      </w:r>
      <w:r>
        <w:rPr>
          <w:rFonts w:hint="eastAsia" w:ascii="仿宋_GB2312" w:eastAsia="仿宋_GB2312"/>
          <w:sz w:val="32"/>
          <w:szCs w:val="32"/>
          <w:lang w:eastAsia="zh-CN"/>
        </w:rPr>
        <w:t>本年年中追加辞职人员职业年金，</w:t>
      </w:r>
      <w:r>
        <w:rPr>
          <w:rFonts w:ascii="仿宋_GB2312" w:eastAsia="仿宋_GB2312"/>
          <w:sz w:val="32"/>
          <w:szCs w:val="32"/>
          <w:lang w:eastAsia="zh-CN"/>
        </w:rPr>
        <w:t>机关事业单位职业年金缴费支出</w:t>
      </w:r>
      <w:r>
        <w:rPr>
          <w:rFonts w:hint="eastAsia" w:ascii="仿宋_GB2312" w:eastAsia="仿宋_GB2312"/>
          <w:sz w:val="32"/>
          <w:szCs w:val="32"/>
          <w:lang w:eastAsia="zh-CN"/>
        </w:rPr>
        <w:t>较上年增加。</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5、卫生健康支出（类）行政事业单位医疗（款）事业单位医疗（项）：支出决算数为12.10万元，比上年决算增加0.12万元，增长1.00%，主要原因是：</w:t>
      </w:r>
      <w:r>
        <w:rPr>
          <w:rFonts w:hint="eastAsia" w:ascii="仿宋_GB2312" w:eastAsia="仿宋_GB2312"/>
          <w:sz w:val="32"/>
          <w:szCs w:val="32"/>
          <w:lang w:eastAsia="zh-CN"/>
        </w:rPr>
        <w:t>人员晋升，医保缴费基数变高，支出增大。</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6、卫生健康支出（类）行政事业单位医疗（款）公务员医疗补助（项）：支出决算数为9.63万元，比上年决算减少1.55万元，下降13.86%，主要原因是：</w:t>
      </w:r>
      <w:r>
        <w:rPr>
          <w:rFonts w:hint="eastAsia" w:ascii="仿宋_GB2312" w:eastAsia="仿宋_GB2312"/>
          <w:sz w:val="32"/>
          <w:szCs w:val="32"/>
          <w:lang w:eastAsia="zh-CN"/>
        </w:rPr>
        <w:t>本单位机构改革后，人员变动，调出、辞职多于调入人员，</w:t>
      </w:r>
      <w:r>
        <w:rPr>
          <w:rFonts w:ascii="仿宋_GB2312" w:eastAsia="仿宋_GB2312"/>
          <w:sz w:val="32"/>
          <w:szCs w:val="32"/>
          <w:lang w:eastAsia="zh-CN"/>
        </w:rPr>
        <w:t>公务员医疗补助</w:t>
      </w:r>
      <w:r>
        <w:rPr>
          <w:rFonts w:hint="eastAsia" w:ascii="仿宋_GB2312" w:eastAsia="仿宋_GB2312"/>
          <w:sz w:val="32"/>
          <w:szCs w:val="32"/>
          <w:lang w:eastAsia="zh-CN"/>
        </w:rPr>
        <w:t>支出较上年减少。</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7、住房保障支出（类）住房改革支出（款）住房公积金（项）：支出决算数为16.08万元，比上年决算减少3.09万元，下降16.12%，主要原因是：</w:t>
      </w:r>
      <w:r>
        <w:rPr>
          <w:rFonts w:hint="eastAsia" w:ascii="仿宋_GB2312" w:eastAsia="仿宋_GB2312"/>
          <w:sz w:val="32"/>
          <w:szCs w:val="32"/>
          <w:lang w:eastAsia="zh-CN"/>
        </w:rPr>
        <w:t>本单位机构改革后，人员变动，调出、辞职多于调入人员，</w:t>
      </w:r>
      <w:r>
        <w:rPr>
          <w:rFonts w:ascii="仿宋_GB2312" w:eastAsia="仿宋_GB2312"/>
          <w:sz w:val="32"/>
          <w:szCs w:val="32"/>
          <w:lang w:eastAsia="zh-CN"/>
        </w:rPr>
        <w:t>住房公积金</w:t>
      </w:r>
      <w:r>
        <w:rPr>
          <w:rFonts w:hint="eastAsia" w:ascii="仿宋_GB2312" w:eastAsia="仿宋_GB2312"/>
          <w:sz w:val="32"/>
          <w:szCs w:val="32"/>
          <w:lang w:eastAsia="zh-CN"/>
        </w:rPr>
        <w:t>缴费较上年减少。</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六、一般公共预算财政拨款基本支出决算情况说明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一般公共预算财政拨款基本支出250.16万元，其中：人员经费243.09万元，包括：基本工资、津贴补贴、奖金、绩效工资、机关事业单位基本养老保险缴费、职业年金缴费、职工基本医疗保险缴费、公务员医疗补助缴费、其他社会保障缴费和住房公积金。</w:t>
      </w:r>
      <w:bookmarkStart w:id="0" w:name="_GoBack"/>
      <w:bookmarkEnd w:id="0"/>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公用经费7.06万元，包括：办公费、邮电费、差旅费、工会经费和其他商品和服务支出。</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七、政府性基金预算财政拨款收入支出决算情况说明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本单位本年度无政府性基金预算财政拨款收入、支出及结转和结余，政府性基金预算财政拨款收入支出决算表为空表。</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八、国有资本经营预算财政拨款收入支出决算情况说明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本单位本年度无国有资本经营预算财政拨款收入、支出及结转和结余，国有资本经营预算财政拨款收入支出决算表为空表。</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九、财政拨款“三公”经费支出决算情况说明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2025年度财政拨款“三公”经费支出0.00万元，与上年相比无变化，主要原因是：我单位无财政拨款</w:t>
      </w:r>
      <w:r>
        <w:rPr>
          <w:rFonts w:hint="eastAsia" w:ascii="仿宋_GB2312" w:eastAsia="仿宋_GB2312"/>
          <w:sz w:val="32"/>
          <w:szCs w:val="32"/>
          <w:lang w:eastAsia="zh-CN"/>
        </w:rPr>
        <w:t>“</w:t>
      </w:r>
      <w:r>
        <w:rPr>
          <w:rFonts w:ascii="仿宋_GB2312" w:eastAsia="仿宋_GB2312"/>
          <w:sz w:val="32"/>
          <w:szCs w:val="32"/>
          <w:lang w:eastAsia="zh-CN"/>
        </w:rPr>
        <w:t>三公</w:t>
      </w:r>
      <w:r>
        <w:rPr>
          <w:rFonts w:hint="eastAsia" w:ascii="仿宋_GB2312" w:eastAsia="仿宋_GB2312"/>
          <w:sz w:val="32"/>
          <w:szCs w:val="32"/>
          <w:lang w:eastAsia="zh-CN"/>
        </w:rPr>
        <w:t>”</w:t>
      </w:r>
      <w:r>
        <w:rPr>
          <w:rFonts w:ascii="仿宋_GB2312" w:eastAsia="仿宋_GB2312"/>
          <w:sz w:val="32"/>
          <w:szCs w:val="32"/>
          <w:lang w:eastAsia="zh-CN"/>
        </w:rPr>
        <w:t>经费支出。其中：因公出国（境）费用支出0.00万元,占0.00%，与上年相比无变化，主要原因是：我单位无因公出国（境）费；公务用车购置及运行维护费支出0.00万元，占0.00%，与上年相比无变化，主要原因是：我单位无公务用车购置及运行维护费；公务接待费支出0.00万元，占0.00%，与上年相比无变化，主要原因是：我单位无公务接待费。</w:t>
      </w:r>
    </w:p>
    <w:p>
      <w:pPr>
        <w:spacing w:after="0" w:line="600" w:lineRule="exact"/>
        <w:ind w:firstLine="640" w:firstLineChars="200"/>
        <w:rPr>
          <w:rFonts w:ascii="仿宋_GB2312" w:eastAsia="仿宋_GB2312"/>
          <w:sz w:val="32"/>
          <w:szCs w:val="32"/>
          <w:lang w:eastAsia="zh-CN"/>
        </w:rPr>
      </w:pPr>
      <w:r>
        <w:rPr>
          <w:rFonts w:ascii="仿宋_GB2312" w:eastAsia="仿宋_GB2312"/>
          <w:sz w:val="32"/>
          <w:szCs w:val="32"/>
          <w:lang w:eastAsia="zh-CN"/>
        </w:rPr>
        <w:t>具体情况如下：</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因公出国（境）费用0.00万元，开支内容包括我单位无因公出国（境）费。单位全年安排的因公出国（境）团组0个，因公出国（境）0人次。</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公务用车购置及运行维护费0.00万元，其中：公务用车购置费0.00万元，公务用车运行维护费0.00万元。公务用车运行维护费开支内容包括我单位无公务用车运行维护费。公务用车购置数0辆，公务用车保有量0辆。国有资产占用情况中固定资产车辆0辆，与公务用车保有量差异原因是：无差异。</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公务接待费0.00万元，开支内容包括我单位无公务接待费。单位全年安排的国内公务接待0批次，0人次。</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与全年预算相比，财政拨款“三公”经费支出全年预算数0.00万元，决算数0.00万元，预决算差异率0.00%，主要原因是：我单位无财政拨款</w:t>
      </w:r>
      <w:r>
        <w:rPr>
          <w:rFonts w:hint="eastAsia" w:ascii="仿宋_GB2312" w:eastAsia="仿宋_GB2312"/>
          <w:sz w:val="32"/>
          <w:szCs w:val="32"/>
          <w:lang w:eastAsia="zh-CN"/>
        </w:rPr>
        <w:t>“</w:t>
      </w:r>
      <w:r>
        <w:rPr>
          <w:rFonts w:ascii="仿宋_GB2312" w:eastAsia="仿宋_GB2312"/>
          <w:sz w:val="32"/>
          <w:szCs w:val="32"/>
          <w:lang w:eastAsia="zh-CN"/>
        </w:rPr>
        <w:t>三公</w:t>
      </w:r>
      <w:r>
        <w:rPr>
          <w:rFonts w:hint="eastAsia" w:ascii="仿宋_GB2312" w:eastAsia="仿宋_GB2312"/>
          <w:sz w:val="32"/>
          <w:szCs w:val="32"/>
          <w:lang w:eastAsia="zh-CN"/>
        </w:rPr>
        <w:t>”</w:t>
      </w:r>
      <w:r>
        <w:rPr>
          <w:rFonts w:ascii="仿宋_GB2312" w:eastAsia="仿宋_GB2312"/>
          <w:sz w:val="32"/>
          <w:szCs w:val="32"/>
          <w:lang w:eastAsia="zh-CN"/>
        </w:rPr>
        <w:t>经费支出。其中：因公出国（境）费用全年预算数0.00万元，决算数0.00万元，预决算差异率0.00%，主要原因是：我单位无因公出国（境）费；公务用车购置费全年预算数0.00万元，决算数0.00万元，预决算差异率0.00%，主要原因是：我单位无公务用车购置费；公务用车运行维护费全年预算数0.00万元，决算数0.00万元，预决算差异率0.00%，主要原因是：我单位无公务用车运行维护费；公务接待费全年预算数0.00万元，决算数0.00万元，预决算差异率0.00%，主要原因是：我单位无公务接待费。</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十、其他重要事项的情况说明</w:t>
      </w:r>
    </w:p>
    <w:p>
      <w:pPr>
        <w:spacing w:after="0" w:line="600" w:lineRule="exact"/>
        <w:ind w:firstLine="640" w:firstLineChars="200"/>
        <w:outlineLvl w:val="2"/>
        <w:rPr>
          <w:rFonts w:ascii="黑体" w:eastAsia="黑体"/>
          <w:sz w:val="32"/>
          <w:szCs w:val="32"/>
          <w:lang w:eastAsia="zh-CN"/>
        </w:rPr>
      </w:pPr>
      <w:r>
        <w:rPr>
          <w:rFonts w:ascii="黑体" w:eastAsia="黑体"/>
          <w:sz w:val="32"/>
          <w:szCs w:val="32"/>
          <w:lang w:eastAsia="zh-CN"/>
        </w:rPr>
        <w:t>（一）机关运行经费及公用经费支出情况</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2025年度新疆维吾尔自治区法治研究和宣传中心（事业单位）公用经费支出7.06万元，比上年减少0.01万元，下降0.14%，主要原因是：</w:t>
      </w:r>
      <w:r>
        <w:rPr>
          <w:rFonts w:hint="eastAsia" w:ascii="仿宋_GB2312" w:eastAsia="仿宋_GB2312"/>
          <w:sz w:val="32"/>
          <w:szCs w:val="32"/>
          <w:lang w:eastAsia="zh-CN"/>
        </w:rPr>
        <w:t>本单位机构改革后，本单位机构改革后，人员变动，调出、辞职多于调入人员，办公费、工会经费支出减少</w:t>
      </w:r>
      <w:r>
        <w:rPr>
          <w:rFonts w:ascii="仿宋_GB2312" w:eastAsia="仿宋_GB2312"/>
          <w:sz w:val="32"/>
          <w:szCs w:val="32"/>
          <w:lang w:eastAsia="zh-CN"/>
        </w:rPr>
        <w:t>。</w:t>
      </w:r>
    </w:p>
    <w:p>
      <w:pPr>
        <w:spacing w:after="0" w:line="600" w:lineRule="exact"/>
        <w:ind w:firstLine="640" w:firstLineChars="200"/>
        <w:outlineLvl w:val="2"/>
        <w:rPr>
          <w:rFonts w:ascii="黑体" w:eastAsia="黑体"/>
          <w:sz w:val="32"/>
          <w:szCs w:val="32"/>
          <w:lang w:eastAsia="zh-CN"/>
        </w:rPr>
      </w:pPr>
      <w:r>
        <w:rPr>
          <w:rFonts w:ascii="黑体" w:eastAsia="黑体"/>
          <w:sz w:val="32"/>
          <w:szCs w:val="32"/>
          <w:lang w:eastAsia="zh-CN"/>
        </w:rPr>
        <w:t>（二）政府采购情况</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2025年度政府采购支出总额0.45万元，其中：政府采购货物支出0.45万元、政府采购工程支出0.00万元、政府采购服务支出0.00万元。</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授予中小企业合同金额0.45万元，占政府采购支出总额的100.00%，其中：授予小微企业合同金额0.45万元，占政府采购支出总额的100.00%。</w:t>
      </w:r>
    </w:p>
    <w:p>
      <w:pPr>
        <w:spacing w:after="0" w:line="600" w:lineRule="exact"/>
        <w:ind w:firstLine="640" w:firstLineChars="200"/>
        <w:outlineLvl w:val="2"/>
        <w:rPr>
          <w:rFonts w:ascii="黑体" w:eastAsia="黑体"/>
          <w:sz w:val="32"/>
          <w:szCs w:val="32"/>
          <w:lang w:eastAsia="zh-CN"/>
        </w:rPr>
      </w:pPr>
      <w:r>
        <w:rPr>
          <w:rFonts w:ascii="黑体" w:eastAsia="黑体"/>
          <w:sz w:val="32"/>
          <w:szCs w:val="32"/>
          <w:lang w:eastAsia="zh-CN"/>
        </w:rPr>
        <w:t>（三）国有资产占用情况说明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rPr>
        <w:t>截至2025年12月31日，房屋0.00平方米，价值0.00万元。</w:t>
      </w:r>
      <w:r>
        <w:rPr>
          <w:rFonts w:ascii="仿宋_GB2312" w:eastAsia="仿宋_GB2312"/>
          <w:sz w:val="32"/>
          <w:szCs w:val="32"/>
          <w:lang w:eastAsia="zh-CN"/>
        </w:rPr>
        <w:t>车辆0辆，价值0.00万元，其中：副部（省）级及以上领导用车0辆、主要负责人用车0辆、机要通信用车0辆、应急保障用车0辆、执法执勤用车0辆、特种专业技术用车0辆、离退休干部服务用车0辆、其他用车0辆，其他用车主要是：</w:t>
      </w:r>
      <w:r>
        <w:rPr>
          <w:rFonts w:hint="eastAsia" w:ascii="仿宋_GB2312" w:eastAsia="仿宋_GB2312"/>
          <w:sz w:val="32"/>
          <w:szCs w:val="32"/>
          <w:lang w:eastAsia="zh-CN"/>
        </w:rPr>
        <w:t>我单位无车辆</w:t>
      </w:r>
      <w:r>
        <w:rPr>
          <w:rFonts w:ascii="仿宋_GB2312" w:eastAsia="仿宋_GB2312"/>
          <w:sz w:val="32"/>
          <w:szCs w:val="32"/>
          <w:lang w:eastAsia="zh-CN"/>
        </w:rPr>
        <w:t>;单价100万元（含）以上设备（不含车辆）0台（套）。</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十一、预算绩效的情况说明</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根据预算绩效管理要求，本单位2025年度预算绩效评价项目</w:t>
      </w:r>
      <w:r>
        <w:rPr>
          <w:rFonts w:hint="eastAsia" w:ascii="仿宋_GB2312" w:eastAsia="仿宋_GB2312"/>
          <w:sz w:val="32"/>
          <w:szCs w:val="32"/>
          <w:lang w:eastAsia="zh-CN"/>
        </w:rPr>
        <w:t>2</w:t>
      </w:r>
      <w:r>
        <w:rPr>
          <w:rFonts w:ascii="仿宋_GB2312" w:eastAsia="仿宋_GB2312"/>
          <w:sz w:val="32"/>
          <w:szCs w:val="32"/>
          <w:lang w:eastAsia="zh-CN"/>
        </w:rPr>
        <w:t>个，全年预算数</w:t>
      </w:r>
      <w:r>
        <w:rPr>
          <w:rFonts w:hint="eastAsia" w:ascii="仿宋_GB2312" w:eastAsia="仿宋_GB2312"/>
          <w:sz w:val="32"/>
          <w:szCs w:val="32"/>
          <w:lang w:eastAsia="zh-CN"/>
        </w:rPr>
        <w:t>13.05</w:t>
      </w:r>
      <w:r>
        <w:rPr>
          <w:rFonts w:ascii="仿宋_GB2312" w:eastAsia="仿宋_GB2312"/>
          <w:sz w:val="32"/>
          <w:szCs w:val="32"/>
          <w:lang w:eastAsia="zh-CN"/>
        </w:rPr>
        <w:t>万元，全年执行数</w:t>
      </w:r>
      <w:r>
        <w:rPr>
          <w:rFonts w:hint="eastAsia" w:ascii="仿宋_GB2312" w:eastAsia="仿宋_GB2312"/>
          <w:sz w:val="32"/>
          <w:szCs w:val="32"/>
          <w:lang w:eastAsia="zh-CN"/>
        </w:rPr>
        <w:t>13.01</w:t>
      </w:r>
      <w:r>
        <w:rPr>
          <w:rFonts w:ascii="仿宋_GB2312" w:eastAsia="仿宋_GB2312"/>
          <w:sz w:val="32"/>
          <w:szCs w:val="32"/>
          <w:lang w:eastAsia="zh-CN"/>
        </w:rPr>
        <w:t>万元。预算绩效管理取得的成效：</w:t>
      </w:r>
      <w:r>
        <w:rPr>
          <w:rFonts w:hint="eastAsia" w:ascii="仿宋_GB2312" w:eastAsia="仿宋_GB2312"/>
          <w:sz w:val="32"/>
          <w:szCs w:val="32"/>
          <w:lang w:eastAsia="zh-CN"/>
        </w:rPr>
        <w:t>一是不断加强对预算执行过程的控制和结果的反馈，每月按时汇总财政拨款资金的使用情况，按规定定期向主管部门及财政部门报送预计支出、预算执行情况报表及说明，加强预算绩效动态监控管理，及时跟踪资金支出进度，严格按照实际支出进度、支出情况进行评价并完成绩效监控工作；二是严肃财经纪律，坚持专款专用，规范各项审批手续，注重财政资金使用效益，保障业务与财务信息互通共享，树立“用钱必问效、问效必问责”绩效管理理念，强化预算绩效管理意识。</w:t>
      </w:r>
      <w:r>
        <w:rPr>
          <w:rFonts w:ascii="仿宋_GB2312" w:eastAsia="仿宋_GB2312"/>
          <w:sz w:val="32"/>
          <w:szCs w:val="32"/>
          <w:lang w:eastAsia="zh-CN"/>
        </w:rPr>
        <w:t>发现的问题及原因</w:t>
      </w:r>
      <w:r>
        <w:rPr>
          <w:rFonts w:hint="eastAsia" w:ascii="仿宋_GB2312" w:eastAsia="仿宋_GB2312"/>
          <w:sz w:val="32"/>
          <w:szCs w:val="32"/>
          <w:lang w:eastAsia="zh-CN"/>
        </w:rPr>
        <w:t>：虽每月上报用款计划，但支付时间存在临时调整的情况。主要原因为：项目资金用款计划的申报与业务处室每季度工作计划及工作重点密切关联，实际开展业务时，会根据当前最新会议及文件精神、政策规定调整课题调研等工作计划，资金支付的时间会产生变动</w:t>
      </w:r>
      <w:r>
        <w:rPr>
          <w:rFonts w:ascii="仿宋_GB2312" w:eastAsia="仿宋_GB2312"/>
          <w:sz w:val="32"/>
          <w:szCs w:val="32"/>
          <w:lang w:eastAsia="zh-CN"/>
        </w:rPr>
        <w:t>。下一步改进措施：</w:t>
      </w:r>
      <w:r>
        <w:rPr>
          <w:rFonts w:hint="eastAsia" w:ascii="仿宋_GB2312" w:eastAsia="仿宋_GB2312"/>
          <w:sz w:val="32"/>
          <w:szCs w:val="32"/>
          <w:lang w:eastAsia="zh-CN"/>
        </w:rPr>
        <w:t>一是进一步强化预算绩效管理工作。对项目实施中存在的具体问题及时采取纠偏措施，确保在使用财政拨款资金时按照资金使用用途及范围做好审核工作，使财政拨款资金落于实处。定期核对财政拨款收入，加强对可使用资金的准确把握，规范资金管理，坚决按照实际用途列支；二是围绕绩效目标的设定、绩效执行过程中的动态监控和调整、深化绩效评价和结果应用，厘清各环节操作流程，夯实工作基础，形成基本完备的事前、事中、事后绩效管理链条。具体附项目支出绩效自评表。</w:t>
      </w:r>
    </w:p>
    <w:p>
      <w:pPr>
        <w:spacing w:after="0" w:line="600" w:lineRule="exact"/>
        <w:ind w:firstLine="640" w:firstLineChars="200"/>
        <w:outlineLvl w:val="1"/>
        <w:rPr>
          <w:rFonts w:ascii="黑体" w:eastAsia="黑体"/>
          <w:sz w:val="32"/>
          <w:szCs w:val="32"/>
          <w:lang w:eastAsia="zh-CN"/>
        </w:rPr>
      </w:pPr>
      <w:r>
        <w:rPr>
          <w:rFonts w:ascii="黑体" w:eastAsia="黑体"/>
          <w:sz w:val="32"/>
          <w:szCs w:val="32"/>
          <w:lang w:eastAsia="zh-CN"/>
        </w:rPr>
        <w:t>十二、其他需说明的事项</w:t>
      </w:r>
    </w:p>
    <w:p>
      <w:pPr>
        <w:spacing w:after="0" w:line="600" w:lineRule="exact"/>
        <w:ind w:firstLine="640" w:firstLineChars="200"/>
        <w:jc w:val="both"/>
        <w:rPr>
          <w:rFonts w:ascii="仿宋_GB2312" w:eastAsia="仿宋_GB2312"/>
          <w:sz w:val="32"/>
          <w:szCs w:val="32"/>
          <w:lang w:eastAsia="zh-CN"/>
        </w:rPr>
      </w:pPr>
      <w:r>
        <w:rPr>
          <w:rFonts w:ascii="仿宋_GB2312" w:eastAsia="仿宋_GB2312"/>
          <w:sz w:val="32"/>
          <w:szCs w:val="32"/>
          <w:lang w:eastAsia="zh-CN"/>
        </w:rPr>
        <w:t>本单位无其他需说明的事项。</w:t>
      </w:r>
    </w:p>
    <w:p>
      <w:pPr>
        <w:spacing w:after="0" w:line="600" w:lineRule="exact"/>
        <w:ind w:firstLine="640" w:firstLineChars="200"/>
        <w:rPr>
          <w:rFonts w:ascii="仿宋_GB2312" w:eastAsia="仿宋_GB2312"/>
          <w:sz w:val="32"/>
          <w:szCs w:val="32"/>
          <w:lang w:eastAsia="zh-CN"/>
        </w:rPr>
      </w:pPr>
    </w:p>
    <w:p>
      <w:pPr>
        <w:spacing w:line="600" w:lineRule="exact"/>
        <w:rPr>
          <w:lang w:eastAsia="zh-CN"/>
        </w:rPr>
      </w:pPr>
      <w:r>
        <w:rPr>
          <w:sz w:val="0"/>
          <w:szCs w:val="0"/>
          <w:lang w:eastAsia="zh-CN"/>
        </w:rPr>
        <w:br w:type="page"/>
      </w:r>
    </w:p>
    <w:p>
      <w:pPr>
        <w:spacing w:after="0" w:line="600" w:lineRule="exact"/>
        <w:jc w:val="center"/>
        <w:outlineLvl w:val="0"/>
        <w:rPr>
          <w:rFonts w:ascii="黑体" w:eastAsia="黑体"/>
          <w:sz w:val="32"/>
          <w:szCs w:val="32"/>
          <w:lang w:eastAsia="zh-CN"/>
        </w:rPr>
      </w:pPr>
      <w:r>
        <w:rPr>
          <w:rFonts w:ascii="黑体" w:eastAsia="黑体"/>
          <w:sz w:val="32"/>
          <w:szCs w:val="32"/>
          <w:lang w:eastAsia="zh-CN"/>
        </w:rPr>
        <w:t>第三部分 专业名词解释</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一、财政拨款收入：</w:t>
      </w:r>
      <w:r>
        <w:rPr>
          <w:rFonts w:ascii="仿宋_GB2312" w:eastAsia="仿宋_GB2312"/>
          <w:sz w:val="32"/>
          <w:szCs w:val="32"/>
          <w:lang w:eastAsia="zh-CN"/>
        </w:rPr>
        <w:t>指单位本年度从同级财政部门取得的财政拨款，包括一般公共预算财政拨款、政府性基金预算财政拨款和国有资本经营预算财政拨款。</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二、上级补助收入：</w:t>
      </w:r>
      <w:r>
        <w:rPr>
          <w:rFonts w:ascii="仿宋_GB2312" w:eastAsia="仿宋_GB2312"/>
          <w:sz w:val="32"/>
          <w:szCs w:val="32"/>
          <w:lang w:eastAsia="zh-CN"/>
        </w:rPr>
        <w:t>指事业单位从主管部门和上级单位取得的非财政补助收入。</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三、事业收入：</w:t>
      </w:r>
      <w:r>
        <w:rPr>
          <w:rFonts w:ascii="仿宋_GB2312" w:eastAsia="仿宋_GB2312"/>
          <w:sz w:val="32"/>
          <w:szCs w:val="32"/>
          <w:lang w:eastAsia="zh-CN"/>
        </w:rPr>
        <w:t>指事业单位开展专业业务活动及其辅助活动取得的收入。</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四、经营收入：</w:t>
      </w:r>
      <w:r>
        <w:rPr>
          <w:rFonts w:ascii="仿宋_GB2312" w:eastAsia="仿宋_GB2312"/>
          <w:sz w:val="32"/>
          <w:szCs w:val="32"/>
          <w:lang w:eastAsia="zh-CN"/>
        </w:rPr>
        <w:t>指事业单位在专业业务活动及其辅助活动之外开展非独立核算经营活动取得的收入。</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五、附属单位上缴收入：</w:t>
      </w:r>
      <w:r>
        <w:rPr>
          <w:rFonts w:ascii="仿宋_GB2312" w:eastAsia="仿宋_GB2312"/>
          <w:sz w:val="32"/>
          <w:szCs w:val="32"/>
          <w:lang w:eastAsia="zh-CN"/>
        </w:rPr>
        <w:t>指事业单位附属独立核算单位按照有关规定上缴的收入。</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六、其他收入：</w:t>
      </w:r>
      <w:r>
        <w:rPr>
          <w:rFonts w:ascii="仿宋_GB2312" w:eastAsia="仿宋_GB2312"/>
          <w:sz w:val="32"/>
          <w:szCs w:val="32"/>
          <w:lang w:eastAsia="zh-CN"/>
        </w:rPr>
        <w:t>指单位取得的除上述“财政拨款收入”“上级补助收入”“事业收入”“经营收入”“附属单位上缴收入”以外的各项收入。</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七、年初结转和结余：</w:t>
      </w:r>
      <w:r>
        <w:rPr>
          <w:rFonts w:ascii="仿宋_GB2312" w:eastAsia="仿宋_GB2312"/>
          <w:sz w:val="32"/>
          <w:szCs w:val="32"/>
          <w:lang w:eastAsia="zh-CN"/>
        </w:rPr>
        <w:t>指单位上年结转本年使用的基本支出结转、项目支出结转和结余、经营结余。</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八、使用非财政拨款结余（含专用结余）：</w:t>
      </w:r>
      <w:r>
        <w:rPr>
          <w:rFonts w:ascii="仿宋_GB2312" w:eastAsia="仿宋_GB2312"/>
          <w:sz w:val="32"/>
          <w:szCs w:val="32"/>
          <w:lang w:eastAsia="zh-CN"/>
        </w:rPr>
        <w:t>指单位按照预算管理要求使用非财政拨款结余弥补收支差额的金额，以及使用专用结余安排支出的金额。</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九、结余分配</w:t>
      </w:r>
      <w:r>
        <w:rPr>
          <w:rFonts w:ascii="仿宋_GB2312" w:eastAsia="仿宋_GB2312"/>
          <w:sz w:val="32"/>
          <w:szCs w:val="32"/>
          <w:lang w:eastAsia="zh-CN"/>
        </w:rPr>
        <w:t>：指单位缴纳企业所得税以及从非财政拨款结余或经营结余中提取各类结余的情况。</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十、年末结转和结余</w:t>
      </w:r>
      <w:r>
        <w:rPr>
          <w:rFonts w:ascii="仿宋_GB2312" w:eastAsia="仿宋_GB2312"/>
          <w:sz w:val="32"/>
          <w:szCs w:val="32"/>
          <w:lang w:eastAsia="zh-CN"/>
        </w:rPr>
        <w:t>：指单位结转下年的基本支出结转、项目支出结转和结余、经营结余。</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十一、基本支出</w:t>
      </w:r>
      <w:r>
        <w:rPr>
          <w:rFonts w:ascii="仿宋_GB2312" w:eastAsia="仿宋_GB2312"/>
          <w:sz w:val="32"/>
          <w:szCs w:val="32"/>
          <w:lang w:eastAsia="zh-CN"/>
        </w:rPr>
        <w:t>：指单位为保障机构正常运转、完成日常工作任务而发生的各项支出。</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十二、项目支出：</w:t>
      </w:r>
      <w:r>
        <w:rPr>
          <w:rFonts w:ascii="仿宋_GB2312" w:eastAsia="仿宋_GB2312"/>
          <w:sz w:val="32"/>
          <w:szCs w:val="32"/>
          <w:lang w:eastAsia="zh-CN"/>
        </w:rPr>
        <w:t>指单位为完成特定的行政工作任务或事业发展目标，在基本支出之外发生的各项支出。</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十三、上缴上级支出：</w:t>
      </w:r>
      <w:r>
        <w:rPr>
          <w:rFonts w:ascii="仿宋_GB2312" w:eastAsia="仿宋_GB2312"/>
          <w:sz w:val="32"/>
          <w:szCs w:val="32"/>
          <w:lang w:eastAsia="zh-CN"/>
        </w:rPr>
        <w:t>指事业单位按照财政部门和主管部门的规定上缴上级单位的支出。</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十四、经营支出：</w:t>
      </w:r>
      <w:r>
        <w:rPr>
          <w:rFonts w:ascii="仿宋_GB2312" w:eastAsia="仿宋_GB2312"/>
          <w:sz w:val="32"/>
          <w:szCs w:val="32"/>
          <w:lang w:eastAsia="zh-CN"/>
        </w:rPr>
        <w:t>指事业单位在专业活动及辅助活动之外开展非独立核算经营活动发生的支出。</w:t>
      </w:r>
    </w:p>
    <w:p>
      <w:pPr>
        <w:spacing w:after="0" w:line="600" w:lineRule="exact"/>
        <w:ind w:firstLine="643" w:firstLineChars="200"/>
        <w:rPr>
          <w:rFonts w:ascii="宋体" w:eastAsia="仿宋_GB2312"/>
          <w:sz w:val="32"/>
          <w:szCs w:val="32"/>
          <w:lang w:eastAsia="zh-CN"/>
        </w:rPr>
      </w:pPr>
      <w:r>
        <w:rPr>
          <w:rFonts w:ascii="宋体" w:eastAsia="仿宋_GB2312"/>
          <w:b/>
          <w:sz w:val="32"/>
          <w:szCs w:val="32"/>
          <w:lang w:eastAsia="zh-CN"/>
        </w:rPr>
        <w:t>十五、对附属单位补助支出：</w:t>
      </w:r>
      <w:r>
        <w:rPr>
          <w:rFonts w:ascii="宋体" w:eastAsia="仿宋_GB2312"/>
          <w:sz w:val="32"/>
          <w:szCs w:val="32"/>
          <w:lang w:eastAsia="zh-CN"/>
        </w:rPr>
        <w:t>指事业单位用财政补助收入之外的收入对附属单位补助发生的支出。</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十六、“三公”经费：</w:t>
      </w:r>
      <w:r>
        <w:rPr>
          <w:rFonts w:ascii="仿宋_GB2312" w:eastAsia="仿宋_GB2312"/>
          <w:sz w:val="32"/>
          <w:szCs w:val="32"/>
          <w:lang w:eastAsia="zh-CN"/>
        </w:rPr>
        <w:t>指单位使用财政拨款安排的因公出国（境）费用、公务用车购置及运行维护费和公务接待费。其中，因公出国（境）费用反映单位公务出国（境）的国际旅费、国外城市间交通费、住宿费、伙食费、培训费、公杂费等支出；公务用车购置费反映公务用车购置支出（含车辆购置税、牌照费）；公务用车运行维护费反映单位按规定保留的公务用车燃料费、新能源汽车充电费、维修费、过路过桥费、保险费、安全奖励费用等支出；公务接待费反映单位按规定开支的各类公务接待（含外宾接待）费用。</w:t>
      </w:r>
    </w:p>
    <w:p>
      <w:pPr>
        <w:spacing w:after="0" w:line="600" w:lineRule="exact"/>
        <w:ind w:firstLine="643" w:firstLineChars="200"/>
        <w:rPr>
          <w:rFonts w:ascii="仿宋_GB2312" w:eastAsia="仿宋_GB2312"/>
          <w:sz w:val="32"/>
          <w:szCs w:val="32"/>
          <w:lang w:eastAsia="zh-CN"/>
        </w:rPr>
      </w:pPr>
      <w:r>
        <w:rPr>
          <w:rFonts w:ascii="仿宋_GB2312" w:eastAsia="仿宋_GB2312"/>
          <w:b/>
          <w:sz w:val="32"/>
          <w:szCs w:val="32"/>
          <w:lang w:eastAsia="zh-CN"/>
        </w:rPr>
        <w:t>十七、机关运行经费：</w:t>
      </w:r>
      <w:r>
        <w:rPr>
          <w:rFonts w:ascii="仿宋_GB2312" w:eastAsia="仿宋_GB2312"/>
          <w:sz w:val="32"/>
          <w:szCs w:val="32"/>
          <w:lang w:eastAsia="zh-CN"/>
        </w:rPr>
        <w:t>指行政单位和参照公务员法管理的事业单位财政拨款基本支出中的公用经费支出。</w:t>
      </w:r>
    </w:p>
    <w:p>
      <w:pPr>
        <w:spacing w:line="600" w:lineRule="exact"/>
        <w:rPr>
          <w:lang w:eastAsia="zh-CN"/>
        </w:rPr>
      </w:pPr>
      <w:r>
        <w:rPr>
          <w:sz w:val="0"/>
          <w:szCs w:val="0"/>
          <w:lang w:eastAsia="zh-CN"/>
        </w:rPr>
        <w:br w:type="page"/>
      </w:r>
    </w:p>
    <w:p>
      <w:pPr>
        <w:spacing w:after="0" w:line="600" w:lineRule="exact"/>
        <w:jc w:val="center"/>
        <w:outlineLvl w:val="0"/>
        <w:rPr>
          <w:rFonts w:ascii="黑体" w:eastAsia="黑体"/>
          <w:sz w:val="32"/>
          <w:szCs w:val="32"/>
          <w:lang w:eastAsia="zh-CN"/>
        </w:rPr>
      </w:pPr>
      <w:r>
        <w:rPr>
          <w:rFonts w:ascii="黑体" w:eastAsia="黑体"/>
          <w:sz w:val="32"/>
          <w:szCs w:val="32"/>
          <w:lang w:eastAsia="zh-CN"/>
        </w:rPr>
        <w:t>第四部分 部门决算报表（见附表）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一、《收入支出决算总表》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二、《收入决算表》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三、《支出决算表》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四、《财政拨款收入支出决算总表》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五、《一般公共预算财政拨款支出决算表》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六、《一般公共预算财政拨款基本支出决算表》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七、《政府性基金预算财政拨款收入支出决算表》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八、《国有资本经营预算财政拨款收入支出决算表》</w:t>
      </w:r>
    </w:p>
    <w:p>
      <w:pPr>
        <w:spacing w:after="0" w:line="600" w:lineRule="exact"/>
        <w:ind w:firstLine="640" w:firstLineChars="200"/>
        <w:outlineLvl w:val="1"/>
        <w:rPr>
          <w:rFonts w:ascii="仿宋_GB2312" w:eastAsia="仿宋_GB2312"/>
          <w:sz w:val="32"/>
          <w:szCs w:val="32"/>
          <w:lang w:eastAsia="zh-CN"/>
        </w:rPr>
      </w:pPr>
      <w:r>
        <w:rPr>
          <w:rFonts w:ascii="仿宋_GB2312" w:eastAsia="仿宋_GB2312"/>
          <w:sz w:val="32"/>
          <w:szCs w:val="32"/>
          <w:lang w:eastAsia="zh-CN"/>
        </w:rPr>
        <w:t>九、《财政拨款“三公”经费支出决算表》</w:t>
      </w:r>
    </w:p>
    <w:sect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方正小标宋_GBK">
    <w:panose1 w:val="02000000000000000000"/>
    <w:charset w:val="86"/>
    <w:family w:val="script"/>
    <w:pitch w:val="default"/>
    <w:sig w:usb0="00000000" w:usb1="00000000" w:usb2="00000000" w:usb3="00000000" w:csb0="00000000" w:csb1="00000000"/>
  </w:font>
  <w:font w:name="仿宋_GB2312">
    <w:panose1 w:val="02010609030101010101"/>
    <w:charset w:val="86"/>
    <w:family w:val="modern"/>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320E"/>
    <w:rsid w:val="000401B6"/>
    <w:rsid w:val="00087E40"/>
    <w:rsid w:val="0010608C"/>
    <w:rsid w:val="00154FC6"/>
    <w:rsid w:val="001C1A57"/>
    <w:rsid w:val="001F782F"/>
    <w:rsid w:val="00204738"/>
    <w:rsid w:val="00290660"/>
    <w:rsid w:val="002E5986"/>
    <w:rsid w:val="002F7119"/>
    <w:rsid w:val="003109D6"/>
    <w:rsid w:val="00354B26"/>
    <w:rsid w:val="00361365"/>
    <w:rsid w:val="00362A92"/>
    <w:rsid w:val="00371C83"/>
    <w:rsid w:val="003B3956"/>
    <w:rsid w:val="003E67DD"/>
    <w:rsid w:val="00421BB2"/>
    <w:rsid w:val="004A535A"/>
    <w:rsid w:val="004F53B7"/>
    <w:rsid w:val="00521DB9"/>
    <w:rsid w:val="00593002"/>
    <w:rsid w:val="005C5BDD"/>
    <w:rsid w:val="005C74C8"/>
    <w:rsid w:val="005E1711"/>
    <w:rsid w:val="005E7D2E"/>
    <w:rsid w:val="005F1406"/>
    <w:rsid w:val="0060352E"/>
    <w:rsid w:val="0066130A"/>
    <w:rsid w:val="00672A32"/>
    <w:rsid w:val="00737B2C"/>
    <w:rsid w:val="00754201"/>
    <w:rsid w:val="008453E6"/>
    <w:rsid w:val="008564F6"/>
    <w:rsid w:val="008932D4"/>
    <w:rsid w:val="008A556A"/>
    <w:rsid w:val="00917017"/>
    <w:rsid w:val="00925DA2"/>
    <w:rsid w:val="009715B9"/>
    <w:rsid w:val="009A66A8"/>
    <w:rsid w:val="009C6DF0"/>
    <w:rsid w:val="00A02012"/>
    <w:rsid w:val="00A23E39"/>
    <w:rsid w:val="00A43E6B"/>
    <w:rsid w:val="00A51F0A"/>
    <w:rsid w:val="00A630A2"/>
    <w:rsid w:val="00AA320E"/>
    <w:rsid w:val="00AB72A1"/>
    <w:rsid w:val="00AF063E"/>
    <w:rsid w:val="00B15686"/>
    <w:rsid w:val="00B6709B"/>
    <w:rsid w:val="00B8646B"/>
    <w:rsid w:val="00BD3F47"/>
    <w:rsid w:val="00BD58EA"/>
    <w:rsid w:val="00BF34E6"/>
    <w:rsid w:val="00BF7C7C"/>
    <w:rsid w:val="00C1455D"/>
    <w:rsid w:val="00C338AC"/>
    <w:rsid w:val="00C96787"/>
    <w:rsid w:val="00CA3552"/>
    <w:rsid w:val="00CC2B45"/>
    <w:rsid w:val="00CE31D3"/>
    <w:rsid w:val="00DA41D9"/>
    <w:rsid w:val="00DC105A"/>
    <w:rsid w:val="00DE60DD"/>
    <w:rsid w:val="00DF2545"/>
    <w:rsid w:val="00DF2F21"/>
    <w:rsid w:val="00E81C90"/>
    <w:rsid w:val="00E8793F"/>
    <w:rsid w:val="51781047"/>
    <w:rsid w:val="F6DD41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iPriority="99"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19"/>
    <w:qFormat/>
    <w:uiPriority w:val="9"/>
    <w:pPr>
      <w:keepNext/>
      <w:keepLines/>
      <w:spacing w:before="48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20"/>
    <w:unhideWhenUsed/>
    <w:qFormat/>
    <w:uiPriority w:val="9"/>
    <w:pPr>
      <w:keepNext/>
      <w:keepLines/>
      <w:spacing w:before="20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21"/>
    <w:unhideWhenUsed/>
    <w:qFormat/>
    <w:uiPriority w:val="9"/>
    <w:pPr>
      <w:keepNext/>
      <w:keepLines/>
      <w:spacing w:before="20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22"/>
    <w:unhideWhenUsed/>
    <w:qFormat/>
    <w:uiPriority w:val="9"/>
    <w:pPr>
      <w:keepNext/>
      <w:keepLines/>
      <w:spacing w:before="20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character" w:default="1" w:styleId="15">
    <w:name w:val="Default Paragraph Font"/>
    <w:semiHidden/>
    <w:unhideWhenUsed/>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6">
    <w:name w:val="Normal Indent"/>
    <w:basedOn w:val="1"/>
    <w:unhideWhenUsed/>
    <w:qFormat/>
    <w:uiPriority w:val="99"/>
    <w:pPr>
      <w:ind w:left="720"/>
    </w:pPr>
  </w:style>
  <w:style w:type="paragraph" w:styleId="7">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8">
    <w:name w:val="annotation text"/>
    <w:basedOn w:val="1"/>
    <w:semiHidden/>
    <w:unhideWhenUsed/>
    <w:uiPriority w:val="99"/>
    <w:pPr>
      <w:jc w:val="left"/>
    </w:pPr>
  </w:style>
  <w:style w:type="paragraph" w:styleId="9">
    <w:name w:val="footer"/>
    <w:basedOn w:val="1"/>
    <w:link w:val="25"/>
    <w:unhideWhenUsed/>
    <w:qFormat/>
    <w:uiPriority w:val="99"/>
    <w:pPr>
      <w:tabs>
        <w:tab w:val="center" w:pos="4153"/>
        <w:tab w:val="right" w:pos="8306"/>
      </w:tabs>
      <w:snapToGrid w:val="0"/>
      <w:spacing w:line="240" w:lineRule="auto"/>
    </w:pPr>
    <w:rPr>
      <w:sz w:val="18"/>
      <w:szCs w:val="18"/>
    </w:rPr>
  </w:style>
  <w:style w:type="paragraph" w:styleId="10">
    <w:name w:val="header"/>
    <w:basedOn w:val="1"/>
    <w:link w:val="18"/>
    <w:unhideWhenUsed/>
    <w:qFormat/>
    <w:uiPriority w:val="99"/>
    <w:pPr>
      <w:tabs>
        <w:tab w:val="center" w:pos="4680"/>
        <w:tab w:val="right" w:pos="9360"/>
      </w:tabs>
    </w:pPr>
  </w:style>
  <w:style w:type="paragraph" w:styleId="11">
    <w:name w:val="Subtitle"/>
    <w:basedOn w:val="1"/>
    <w:next w:val="1"/>
    <w:link w:val="23"/>
    <w:qFormat/>
    <w:uiPriority w:val="11"/>
    <w:pPr>
      <w:ind w:left="86"/>
    </w:pPr>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2">
    <w:name w:val="Title"/>
    <w:basedOn w:val="1"/>
    <w:next w:val="1"/>
    <w:link w:val="24"/>
    <w:qFormat/>
    <w:uiPriority w:val="10"/>
    <w:pPr>
      <w:pBdr>
        <w:bottom w:val="single" w:color="4F81BD" w:themeColor="accent1" w:sz="8" w:space="4"/>
      </w:pBdr>
      <w:spacing w:after="300"/>
      <w:contextualSpacing/>
    </w:pPr>
    <w:rPr>
      <w:rFonts w:asciiTheme="majorHAnsi" w:hAnsiTheme="majorHAnsi" w:eastAsiaTheme="majorEastAsia" w:cstheme="majorBidi"/>
      <w:color w:val="17375E" w:themeColor="text2" w:themeShade="BF"/>
      <w:spacing w:val="5"/>
      <w:kern w:val="28"/>
      <w:sz w:val="52"/>
      <w:szCs w:val="52"/>
    </w:rPr>
  </w:style>
  <w:style w:type="table" w:styleId="14">
    <w:name w:val="Table Grid"/>
    <w:basedOn w:val="1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style>
  <w:style w:type="character" w:styleId="16">
    <w:name w:val="Emphasis"/>
    <w:basedOn w:val="15"/>
    <w:qFormat/>
    <w:uiPriority w:val="20"/>
    <w:rPr>
      <w:i/>
      <w:iCs/>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customStyle="1" w:styleId="18">
    <w:name w:val="页眉 Char"/>
    <w:basedOn w:val="15"/>
    <w:link w:val="10"/>
    <w:qFormat/>
    <w:uiPriority w:val="99"/>
  </w:style>
  <w:style w:type="character" w:customStyle="1" w:styleId="19">
    <w:name w:val="标题 1 Char"/>
    <w:basedOn w:val="15"/>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20">
    <w:name w:val="标题 2 Char"/>
    <w:basedOn w:val="15"/>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21">
    <w:name w:val="标题 3 Char"/>
    <w:basedOn w:val="15"/>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22">
    <w:name w:val="标题 4 Char"/>
    <w:basedOn w:val="15"/>
    <w:link w:val="5"/>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23">
    <w:name w:val="副标题 Char"/>
    <w:basedOn w:val="15"/>
    <w:link w:val="11"/>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character" w:customStyle="1" w:styleId="24">
    <w:name w:val="标题 Char"/>
    <w:basedOn w:val="15"/>
    <w:link w:val="12"/>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25">
    <w:name w:val="页脚 Char"/>
    <w:basedOn w:val="15"/>
    <w:link w:val="9"/>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17</Pages>
  <Words>940</Words>
  <Characters>5358</Characters>
  <Lines>44</Lines>
  <Paragraphs>12</Paragraphs>
  <TotalTime>183</TotalTime>
  <ScaleCrop>false</ScaleCrop>
  <LinksUpToDate>false</LinksUpToDate>
  <CharactersWithSpaces>6286</CharactersWithSpaces>
  <Application>WPS Office_11.1.0.8919_F1E327BC-269C-435d-A152-05C5408002CA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2026-08-14T18:19:00Z</dcterms:created>
  <dc:creator>0</dc:creator>
  <cp:lastModifiedBy>Administrator</cp:lastModifiedBy>
  <dcterms:modified xsi:type="dcterms:W3CDTF">2026-08-19T12:19:22Z</dcterms:modified>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2052-11.1.0.8919</vt:lpwstr>
  </property>
  <property fmtid="{D5CDD505-2E9C-101B-9397-08002B2CF9AE}" pid="3" name="ICV">
    <vt:lpwstr>C82F5670187CA6DA6B047F6AF30C7B3E</vt:lpwstr>
  </property>
</Properties>
</file>