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仿宋"/>
          <w:kern w:val="0"/>
          <w:sz w:val="32"/>
          <w:szCs w:val="32"/>
        </w:rPr>
      </w:pPr>
      <w:r>
        <w:rPr>
          <w:rFonts w:hAnsi="仿宋" w:eastAsia="仿宋"/>
          <w:kern w:val="0"/>
          <w:sz w:val="32"/>
          <w:szCs w:val="32"/>
        </w:rPr>
        <w:t>附件</w:t>
      </w:r>
      <w:r>
        <w:rPr>
          <w:rFonts w:eastAsia="仿宋"/>
          <w:kern w:val="0"/>
          <w:sz w:val="32"/>
          <w:szCs w:val="32"/>
        </w:rPr>
        <w:t>2</w:t>
      </w:r>
      <w:r>
        <w:rPr>
          <w:rFonts w:hAnsi="仿宋" w:eastAsia="仿宋"/>
          <w:kern w:val="0"/>
          <w:sz w:val="32"/>
          <w:szCs w:val="32"/>
        </w:rPr>
        <w:t>：</w:t>
      </w: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eastAsia="方正小标宋_GBK"/>
          <w:kern w:val="0"/>
          <w:sz w:val="48"/>
          <w:szCs w:val="48"/>
        </w:rPr>
        <w:t>办公及被装资金项目支出</w:t>
      </w:r>
    </w:p>
    <w:p>
      <w:pPr>
        <w:spacing w:line="540" w:lineRule="exact"/>
        <w:jc w:val="center"/>
        <w:rPr>
          <w:rFonts w:eastAsia="方正小标宋_GBK"/>
          <w:kern w:val="0"/>
          <w:sz w:val="48"/>
          <w:szCs w:val="48"/>
        </w:rPr>
      </w:pPr>
      <w:r>
        <w:rPr>
          <w:rFonts w:eastAsia="方正小标宋_GBK"/>
          <w:kern w:val="0"/>
          <w:sz w:val="48"/>
          <w:szCs w:val="48"/>
        </w:rPr>
        <w:t>绩效评价报告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b/>
          <w:kern w:val="0"/>
          <w:sz w:val="36"/>
          <w:szCs w:val="36"/>
        </w:rPr>
        <w:t>（</w:t>
      </w:r>
      <w:r>
        <w:rPr>
          <w:rStyle w:val="21"/>
          <w:rFonts w:eastAsia="仿宋_GB2312"/>
          <w:b w:val="0"/>
          <w:spacing w:val="-4"/>
          <w:sz w:val="32"/>
          <w:szCs w:val="32"/>
        </w:rPr>
        <w:t>2022</w:t>
      </w:r>
      <w:r>
        <w:rPr>
          <w:rFonts w:eastAsia="仿宋_GB2312"/>
          <w:kern w:val="0"/>
          <w:sz w:val="36"/>
          <w:szCs w:val="36"/>
        </w:rPr>
        <w:t>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方正小标宋_GBK"/>
          <w:kern w:val="0"/>
          <w:sz w:val="36"/>
          <w:szCs w:val="36"/>
        </w:rPr>
      </w:pPr>
    </w:p>
    <w:p>
      <w:pPr>
        <w:spacing w:line="540" w:lineRule="exact"/>
        <w:rPr>
          <w:rFonts w:eastAsia="仿宋_GB2312"/>
          <w:kern w:val="0"/>
          <w:sz w:val="30"/>
          <w:szCs w:val="30"/>
        </w:rPr>
      </w:pPr>
    </w:p>
    <w:p>
      <w:pPr>
        <w:spacing w:line="700" w:lineRule="exact"/>
        <w:ind w:firstLine="882" w:firstLineChars="245"/>
        <w:jc w:val="left"/>
        <w:rPr>
          <w:rFonts w:eastAsia="仿宋_GB2312"/>
          <w:kern w:val="0"/>
          <w:sz w:val="32"/>
          <w:szCs w:val="32"/>
        </w:rPr>
      </w:pPr>
      <w:r>
        <w:rPr>
          <w:rFonts w:eastAsia="仿宋_GB2312"/>
          <w:kern w:val="0"/>
          <w:sz w:val="36"/>
          <w:szCs w:val="36"/>
        </w:rPr>
        <w:t>项目名称：</w:t>
      </w:r>
      <w:r>
        <w:rPr>
          <w:rFonts w:eastAsia="仿宋_GB2312"/>
          <w:bCs/>
          <w:kern w:val="0"/>
          <w:sz w:val="32"/>
          <w:szCs w:val="32"/>
        </w:rPr>
        <w:t>办公及被装经费</w:t>
      </w:r>
    </w:p>
    <w:p>
      <w:pPr>
        <w:spacing w:line="700" w:lineRule="exact"/>
        <w:ind w:firstLine="882" w:firstLineChars="245"/>
        <w:jc w:val="left"/>
        <w:rPr>
          <w:rFonts w:eastAsia="仿宋_GB2312"/>
          <w:kern w:val="0"/>
          <w:sz w:val="32"/>
          <w:szCs w:val="32"/>
        </w:rPr>
      </w:pPr>
      <w:r>
        <w:rPr>
          <w:rFonts w:eastAsia="仿宋_GB2312"/>
          <w:kern w:val="0"/>
          <w:sz w:val="36"/>
          <w:szCs w:val="36"/>
        </w:rPr>
        <w:t>实施单位（公章）：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2"/>
          <w:szCs w:val="32"/>
        </w:rPr>
      </w:pPr>
      <w:r>
        <w:rPr>
          <w:rFonts w:eastAsia="仿宋_GB2312"/>
          <w:kern w:val="0"/>
          <w:sz w:val="36"/>
          <w:szCs w:val="36"/>
        </w:rPr>
        <w:t>主管部门（公章）：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6"/>
          <w:szCs w:val="36"/>
        </w:rPr>
      </w:pPr>
      <w:r>
        <w:rPr>
          <w:rFonts w:eastAsia="仿宋_GB2312"/>
          <w:kern w:val="0"/>
          <w:sz w:val="36"/>
          <w:szCs w:val="36"/>
        </w:rPr>
        <w:t>项目负责人（签章）：</w:t>
      </w:r>
    </w:p>
    <w:p>
      <w:pPr>
        <w:spacing w:line="700" w:lineRule="exact"/>
        <w:ind w:firstLine="882" w:firstLineChars="245"/>
        <w:jc w:val="left"/>
        <w:rPr>
          <w:rStyle w:val="21"/>
          <w:rFonts w:eastAsia="仿宋_GB2312"/>
          <w:b w:val="0"/>
          <w:bCs w:val="0"/>
          <w:kern w:val="0"/>
          <w:sz w:val="36"/>
          <w:szCs w:val="36"/>
        </w:rPr>
      </w:pPr>
      <w:r>
        <w:rPr>
          <w:rFonts w:eastAsia="仿宋_GB2312"/>
          <w:kern w:val="0"/>
          <w:sz w:val="36"/>
          <w:szCs w:val="36"/>
        </w:rPr>
        <w:t>填报时间：</w:t>
      </w:r>
      <w:r>
        <w:rPr>
          <w:rStyle w:val="21"/>
          <w:rFonts w:eastAsia="仿宋_GB2312"/>
          <w:b w:val="0"/>
          <w:spacing w:val="-4"/>
          <w:sz w:val="32"/>
          <w:szCs w:val="32"/>
        </w:rPr>
        <w:t>2023年3月</w:t>
      </w:r>
      <w:r>
        <w:rPr>
          <w:rStyle w:val="21"/>
          <w:rFonts w:hint="eastAsia" w:eastAsia="仿宋_GB2312"/>
          <w:b w:val="0"/>
          <w:spacing w:val="-4"/>
          <w:sz w:val="32"/>
          <w:szCs w:val="32"/>
          <w:lang w:val="en-US" w:eastAsia="zh-CN"/>
        </w:rPr>
        <w:t>30</w:t>
      </w:r>
      <w:r>
        <w:rPr>
          <w:rStyle w:val="21"/>
          <w:rFonts w:eastAsia="仿宋_GB2312"/>
          <w:b w:val="0"/>
          <w:spacing w:val="-4"/>
          <w:sz w:val="32"/>
          <w:szCs w:val="32"/>
        </w:rPr>
        <w:t>日</w:t>
      </w:r>
    </w:p>
    <w:p>
      <w:pPr>
        <w:spacing w:line="560" w:lineRule="exact"/>
        <w:ind w:firstLine="640"/>
        <w:rPr>
          <w:rStyle w:val="21"/>
          <w:rFonts w:hint="eastAsia" w:eastAsia="黑体"/>
          <w:b w:val="0"/>
          <w:spacing w:val="-4"/>
          <w:sz w:val="32"/>
          <w:szCs w:val="32"/>
        </w:rPr>
      </w:pPr>
    </w:p>
    <w:p>
      <w:pPr>
        <w:spacing w:line="560" w:lineRule="exact"/>
        <w:ind w:firstLine="640"/>
        <w:rPr>
          <w:rStyle w:val="21"/>
          <w:rFonts w:hint="eastAsia" w:eastAsia="黑体"/>
          <w:b w:val="0"/>
          <w:spacing w:val="-4"/>
          <w:sz w:val="32"/>
          <w:szCs w:val="32"/>
        </w:rPr>
      </w:pPr>
    </w:p>
    <w:p>
      <w:pPr>
        <w:spacing w:line="560" w:lineRule="exact"/>
        <w:ind w:firstLine="640"/>
        <w:rPr>
          <w:rStyle w:val="21"/>
          <w:rFonts w:eastAsia="黑体"/>
          <w:b w:val="0"/>
          <w:spacing w:val="-4"/>
          <w:sz w:val="32"/>
          <w:szCs w:val="32"/>
        </w:rPr>
      </w:pP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一、基本情况</w:t>
      </w:r>
    </w:p>
    <w:p>
      <w:pPr>
        <w:spacing w:line="560" w:lineRule="exact"/>
        <w:ind w:firstLine="640" w:firstLineChars="200"/>
        <w:rPr>
          <w:rFonts w:eastAsia="楷体_GB2312"/>
          <w:bCs/>
          <w:sz w:val="32"/>
          <w:szCs w:val="32"/>
        </w:rPr>
      </w:pPr>
      <w:r>
        <w:rPr>
          <w:rFonts w:eastAsia="楷体_GB2312"/>
          <w:bCs/>
          <w:sz w:val="32"/>
          <w:szCs w:val="32"/>
        </w:rPr>
        <w:t>（一）项目概况</w:t>
      </w:r>
    </w:p>
    <w:p>
      <w:pPr>
        <w:spacing w:line="560" w:lineRule="exact"/>
        <w:ind w:firstLine="643" w:firstLineChars="200"/>
        <w:rPr>
          <w:rStyle w:val="21"/>
          <w:rFonts w:eastAsia="仿宋_GB2312"/>
          <w:sz w:val="32"/>
          <w:szCs w:val="32"/>
        </w:rPr>
      </w:pPr>
      <w:r>
        <w:rPr>
          <w:rFonts w:eastAsia="仿宋_GB2312"/>
          <w:b/>
          <w:bCs/>
          <w:sz w:val="32"/>
          <w:szCs w:val="32"/>
        </w:rPr>
        <w:t>1、项目背景</w:t>
      </w:r>
    </w:p>
    <w:p>
      <w:pPr>
        <w:spacing w:line="560" w:lineRule="exact"/>
        <w:ind w:firstLine="640" w:firstLineChars="200"/>
        <w:rPr>
          <w:rFonts w:eastAsia="仿宋_GB2312"/>
          <w:sz w:val="32"/>
          <w:szCs w:val="32"/>
        </w:rPr>
      </w:pPr>
      <w:r>
        <w:rPr>
          <w:rFonts w:hAnsi="仿宋_GB2312" w:eastAsia="仿宋_GB2312"/>
          <w:sz w:val="32"/>
          <w:szCs w:val="32"/>
        </w:rPr>
        <w:t>新疆司法警官学校是新疆维吾尔自治区司法厅直属的唯一一所学校，建于</w:t>
      </w:r>
      <w:r>
        <w:rPr>
          <w:rFonts w:eastAsia="仿宋_GB2312"/>
          <w:sz w:val="32"/>
          <w:szCs w:val="32"/>
        </w:rPr>
        <w:t xml:space="preserve"> 1981 </w:t>
      </w:r>
      <w:r>
        <w:rPr>
          <w:rFonts w:hAnsi="仿宋_GB2312" w:eastAsia="仿宋_GB2312"/>
          <w:sz w:val="32"/>
          <w:szCs w:val="32"/>
        </w:rPr>
        <w:t>年，以培养监狱、戒毒人民警察，司法警察和基层法律服务应用人才为主要目标，同时面向全区司法行政干警和法律服务工作者开展警衔、岗位、业务等各类培训，是新疆司法行政系统的人才培养基地、干警培训基地和理论研究基地。学校坚持</w:t>
      </w:r>
      <w:r>
        <w:rPr>
          <w:rFonts w:eastAsia="仿宋_GB2312"/>
          <w:sz w:val="32"/>
          <w:szCs w:val="32"/>
        </w:rPr>
        <w:t>“</w:t>
      </w:r>
      <w:r>
        <w:rPr>
          <w:rFonts w:hAnsi="仿宋_GB2312" w:eastAsia="仿宋_GB2312"/>
          <w:sz w:val="32"/>
          <w:szCs w:val="32"/>
        </w:rPr>
        <w:t>从严治警，从严治校</w:t>
      </w:r>
      <w:r>
        <w:rPr>
          <w:rFonts w:eastAsia="仿宋_GB2312"/>
          <w:sz w:val="32"/>
          <w:szCs w:val="32"/>
        </w:rPr>
        <w:t>”</w:t>
      </w:r>
      <w:r>
        <w:rPr>
          <w:rFonts w:hAnsi="仿宋_GB2312" w:eastAsia="仿宋_GB2312"/>
          <w:sz w:val="32"/>
          <w:szCs w:val="32"/>
        </w:rPr>
        <w:t>的方针，实行严格的警务化管理，形成了具有警察院校鲜明特色的学风和校风。</w:t>
      </w:r>
    </w:p>
    <w:p>
      <w:pPr>
        <w:spacing w:line="560" w:lineRule="exact"/>
        <w:ind w:firstLine="624" w:firstLineChars="200"/>
        <w:rPr>
          <w:rStyle w:val="21"/>
          <w:rFonts w:eastAsia="仿宋_GB2312"/>
          <w:b w:val="0"/>
          <w:bCs w:val="0"/>
          <w:sz w:val="32"/>
          <w:szCs w:val="32"/>
        </w:rPr>
      </w:pPr>
      <w:r>
        <w:rPr>
          <w:rStyle w:val="21"/>
          <w:rFonts w:eastAsia="仿宋_GB2312"/>
          <w:b w:val="0"/>
          <w:spacing w:val="-4"/>
          <w:sz w:val="32"/>
          <w:szCs w:val="32"/>
        </w:rPr>
        <w:t>新疆司法警官学校因不同于其他行政单位，主要承担培养监狱、教育矫治等人民警察人才及司法系统人才培训任务，办公及被装经费补助中办公补助经费主要用于弥补正常办公经费不足，以保障学校正常建设发展及教职工培养，从硬件及软件两方面满足办学及培训要求。被装经费能够在工作管理中，实行严格的警务化管理，按要求在职干警统一着人民警察服装，做到行为规范化、生活制度化。</w:t>
      </w:r>
    </w:p>
    <w:p>
      <w:pPr>
        <w:spacing w:line="560" w:lineRule="exact"/>
        <w:ind w:firstLine="643" w:firstLineChars="200"/>
        <w:rPr>
          <w:rFonts w:eastAsia="仿宋_GB2312"/>
          <w:b/>
          <w:bCs/>
          <w:spacing w:val="-4"/>
          <w:sz w:val="32"/>
          <w:szCs w:val="32"/>
        </w:rPr>
      </w:pPr>
      <w:r>
        <w:rPr>
          <w:rFonts w:eastAsia="仿宋_GB2312"/>
          <w:b/>
          <w:sz w:val="32"/>
          <w:szCs w:val="32"/>
        </w:rPr>
        <w:t>2、项目主要内容</w:t>
      </w:r>
    </w:p>
    <w:p>
      <w:pPr>
        <w:ind w:firstLine="640" w:firstLineChars="200"/>
        <w:rPr>
          <w:rFonts w:eastAsia="仿宋_GB2312"/>
          <w:sz w:val="32"/>
          <w:szCs w:val="32"/>
        </w:rPr>
      </w:pPr>
      <w:r>
        <w:rPr>
          <w:rFonts w:eastAsia="仿宋_GB2312"/>
          <w:sz w:val="32"/>
          <w:szCs w:val="32"/>
        </w:rPr>
        <w:t>项目主要内容：</w:t>
      </w:r>
      <w:r>
        <w:rPr>
          <w:rFonts w:hint="eastAsia" w:eastAsia="仿宋_GB2312"/>
          <w:sz w:val="32"/>
          <w:szCs w:val="32"/>
        </w:rPr>
        <w:t>办公及被装经费</w:t>
      </w:r>
      <w:r>
        <w:rPr>
          <w:rFonts w:hint="eastAsia" w:eastAsia="仿宋_GB2312"/>
          <w:sz w:val="32"/>
          <w:szCs w:val="32"/>
          <w:lang w:eastAsia="zh-CN"/>
        </w:rPr>
        <w:t>项目主要用于</w:t>
      </w:r>
      <w:r>
        <w:rPr>
          <w:rFonts w:hint="eastAsia" w:eastAsia="仿宋_GB2312"/>
          <w:sz w:val="32"/>
          <w:szCs w:val="32"/>
        </w:rPr>
        <w:t>弥补正常办公经费</w:t>
      </w:r>
      <w:r>
        <w:rPr>
          <w:rFonts w:hint="eastAsia" w:eastAsia="仿宋_GB2312"/>
          <w:sz w:val="32"/>
          <w:szCs w:val="32"/>
          <w:lang w:eastAsia="zh-CN"/>
        </w:rPr>
        <w:t>及保障</w:t>
      </w:r>
      <w:r>
        <w:rPr>
          <w:rFonts w:hint="eastAsia" w:eastAsia="仿宋_GB2312"/>
          <w:sz w:val="32"/>
          <w:szCs w:val="32"/>
        </w:rPr>
        <w:t>被装</w:t>
      </w:r>
      <w:r>
        <w:rPr>
          <w:rFonts w:hint="eastAsia" w:eastAsia="仿宋_GB2312"/>
          <w:sz w:val="32"/>
          <w:szCs w:val="32"/>
          <w:lang w:eastAsia="zh-CN"/>
        </w:rPr>
        <w:t>。</w:t>
      </w:r>
      <w:r>
        <w:rPr>
          <w:rFonts w:hint="eastAsia" w:eastAsia="仿宋_GB2312"/>
          <w:sz w:val="32"/>
          <w:szCs w:val="32"/>
        </w:rPr>
        <w:t>弥补正常办公经费</w:t>
      </w:r>
      <w:r>
        <w:rPr>
          <w:rFonts w:hint="eastAsia" w:eastAsia="仿宋_GB2312"/>
          <w:sz w:val="32"/>
          <w:szCs w:val="32"/>
          <w:lang w:val="en-US" w:eastAsia="zh-CN"/>
        </w:rPr>
        <w:t>125万元</w:t>
      </w:r>
      <w:r>
        <w:rPr>
          <w:rFonts w:hint="eastAsia" w:eastAsia="仿宋_GB2312"/>
          <w:sz w:val="32"/>
          <w:szCs w:val="32"/>
        </w:rPr>
        <w:t>主要用于水费、电费、办公费、邮电费、差旅费，以保障学校正常建设发展及教职工培养，从硬件及软件两方面满足办学及培训要求。</w:t>
      </w:r>
      <w:r>
        <w:rPr>
          <w:rFonts w:hint="eastAsia" w:eastAsia="仿宋_GB2312"/>
          <w:sz w:val="32"/>
          <w:szCs w:val="32"/>
          <w:lang w:eastAsia="zh-CN"/>
        </w:rPr>
        <w:t>被装经费</w:t>
      </w:r>
      <w:r>
        <w:rPr>
          <w:rFonts w:hint="eastAsia" w:eastAsia="仿宋_GB2312"/>
          <w:sz w:val="32"/>
          <w:szCs w:val="32"/>
        </w:rPr>
        <w:t>能够保障民警在工作管理中，按要求统一着人民警察服装，做到管理制度化、行为规范化。</w:t>
      </w:r>
    </w:p>
    <w:p>
      <w:pPr>
        <w:spacing w:line="560" w:lineRule="exact"/>
        <w:ind w:firstLine="640" w:firstLineChars="200"/>
        <w:rPr>
          <w:rFonts w:eastAsia="仿宋_GB2312"/>
          <w:sz w:val="32"/>
          <w:szCs w:val="32"/>
        </w:rPr>
      </w:pPr>
      <w:r>
        <w:rPr>
          <w:rFonts w:eastAsia="仿宋_GB2312"/>
          <w:sz w:val="32"/>
          <w:szCs w:val="32"/>
        </w:rPr>
        <w:t>项目实施情况：项目目前已经完成实际设立的目标，项目在实施过程中严格按照目标设立的各阶段任务开展工作，在前期立项过程中严格把质量关，建立安全防护机制，保证项目实施各阶段安全顺利进行。</w:t>
      </w:r>
    </w:p>
    <w:p>
      <w:pPr>
        <w:spacing w:line="560" w:lineRule="exact"/>
        <w:ind w:firstLine="624" w:firstLineChars="200"/>
        <w:rPr>
          <w:rFonts w:eastAsia="仿宋_GB2312"/>
          <w:sz w:val="32"/>
          <w:szCs w:val="32"/>
        </w:rPr>
      </w:pPr>
      <w:r>
        <w:rPr>
          <w:rStyle w:val="21"/>
          <w:rFonts w:eastAsia="仿宋_GB2312"/>
          <w:b w:val="0"/>
          <w:spacing w:val="-4"/>
          <w:sz w:val="32"/>
          <w:szCs w:val="32"/>
        </w:rPr>
        <w:t>办公及被装经费</w:t>
      </w:r>
      <w:r>
        <w:rPr>
          <w:rFonts w:eastAsia="仿宋_GB2312"/>
          <w:sz w:val="32"/>
          <w:szCs w:val="32"/>
        </w:rPr>
        <w:t>项目总投资</w:t>
      </w:r>
      <w:r>
        <w:rPr>
          <w:rFonts w:hint="default" w:eastAsia="仿宋_GB2312"/>
          <w:sz w:val="32"/>
          <w:szCs w:val="32"/>
        </w:rPr>
        <w:t>175</w:t>
      </w:r>
      <w:r>
        <w:rPr>
          <w:rFonts w:eastAsia="仿宋_GB2312"/>
          <w:sz w:val="32"/>
          <w:szCs w:val="32"/>
        </w:rPr>
        <w:t>万元</w:t>
      </w:r>
      <w:r>
        <w:rPr>
          <w:rFonts w:hint="eastAsia" w:eastAsia="仿宋_GB2312"/>
          <w:sz w:val="32"/>
          <w:szCs w:val="32"/>
          <w:lang w:eastAsia="zh-CN"/>
        </w:rPr>
        <w:t>，</w:t>
      </w:r>
      <w:r>
        <w:rPr>
          <w:rFonts w:eastAsia="仿宋_GB2312"/>
          <w:sz w:val="32"/>
          <w:szCs w:val="32"/>
        </w:rPr>
        <w:t>其中：财政拨款资金162.07万元，其他资金0万元。项目实际支出162.07万元，支出率为</w:t>
      </w:r>
      <w:r>
        <w:rPr>
          <w:rFonts w:hint="default" w:eastAsia="仿宋_GB2312"/>
          <w:sz w:val="32"/>
          <w:szCs w:val="32"/>
        </w:rPr>
        <w:t>92.61</w:t>
      </w:r>
      <w:r>
        <w:rPr>
          <w:rFonts w:eastAsia="仿宋_GB2312"/>
          <w:sz w:val="32"/>
          <w:szCs w:val="32"/>
        </w:rPr>
        <w:t>%。</w:t>
      </w:r>
    </w:p>
    <w:p>
      <w:pPr>
        <w:spacing w:line="560" w:lineRule="exact"/>
        <w:ind w:firstLine="643" w:firstLineChars="200"/>
        <w:rPr>
          <w:rFonts w:eastAsia="仿宋_GB2312"/>
          <w:b/>
          <w:sz w:val="32"/>
          <w:szCs w:val="32"/>
        </w:rPr>
      </w:pPr>
      <w:r>
        <w:rPr>
          <w:rFonts w:eastAsia="仿宋_GB2312"/>
          <w:b/>
          <w:sz w:val="32"/>
          <w:szCs w:val="32"/>
        </w:rPr>
        <w:t>3、</w:t>
      </w:r>
      <w:r>
        <w:rPr>
          <w:rFonts w:eastAsia="仿宋_GB2312"/>
          <w:b/>
          <w:bCs/>
          <w:sz w:val="32"/>
          <w:szCs w:val="32"/>
        </w:rPr>
        <w:t>资金投入和使用情况</w:t>
      </w:r>
    </w:p>
    <w:p>
      <w:pPr>
        <w:pStyle w:val="35"/>
        <w:spacing w:line="560" w:lineRule="exact"/>
        <w:rPr>
          <w:rFonts w:ascii="Times New Roman" w:hAnsi="Times New Roman" w:eastAsia="仿宋_GB2312"/>
          <w:sz w:val="20"/>
          <w:szCs w:val="20"/>
          <w:lang w:eastAsia="zh-CN"/>
        </w:rPr>
      </w:pPr>
      <w:r>
        <w:rPr>
          <w:rFonts w:ascii="Times New Roman" w:eastAsia="仿宋_GB2312"/>
          <w:sz w:val="32"/>
          <w:szCs w:val="32"/>
          <w:lang w:eastAsia="zh-CN"/>
        </w:rPr>
        <w:t>（</w:t>
      </w:r>
      <w:r>
        <w:rPr>
          <w:rFonts w:ascii="Times New Roman" w:hAnsi="Times New Roman" w:eastAsia="仿宋_GB2312"/>
          <w:sz w:val="32"/>
          <w:szCs w:val="32"/>
          <w:lang w:eastAsia="zh-CN"/>
        </w:rPr>
        <w:t>1</w:t>
      </w:r>
      <w:r>
        <w:rPr>
          <w:rFonts w:ascii="Times New Roman" w:eastAsia="仿宋_GB2312"/>
          <w:sz w:val="32"/>
          <w:szCs w:val="32"/>
          <w:lang w:eastAsia="zh-CN"/>
        </w:rPr>
        <w:t>）资金安排</w:t>
      </w:r>
    </w:p>
    <w:p>
      <w:pPr>
        <w:spacing w:line="560" w:lineRule="exact"/>
        <w:ind w:firstLine="640" w:firstLineChars="200"/>
        <w:rPr>
          <w:rFonts w:eastAsia="仿宋_GB2312"/>
          <w:sz w:val="32"/>
          <w:szCs w:val="32"/>
        </w:rPr>
      </w:pPr>
      <w:r>
        <w:rPr>
          <w:rFonts w:eastAsia="仿宋_GB2312"/>
          <w:sz w:val="32"/>
          <w:szCs w:val="32"/>
        </w:rPr>
        <w:t>该项目投资</w:t>
      </w:r>
      <w:r>
        <w:rPr>
          <w:rFonts w:hint="default" w:eastAsia="仿宋_GB2312"/>
          <w:sz w:val="32"/>
          <w:szCs w:val="32"/>
        </w:rPr>
        <w:t>175</w:t>
      </w:r>
      <w:r>
        <w:rPr>
          <w:rFonts w:eastAsia="仿宋_GB2312"/>
          <w:sz w:val="32"/>
          <w:szCs w:val="32"/>
        </w:rPr>
        <w:t>万元，按照单位财务制度等相关规定，资金支出符合</w:t>
      </w:r>
      <w:r>
        <w:rPr>
          <w:rStyle w:val="21"/>
          <w:rFonts w:eastAsia="仿宋_GB2312"/>
          <w:b w:val="0"/>
          <w:spacing w:val="-4"/>
          <w:sz w:val="32"/>
          <w:szCs w:val="32"/>
        </w:rPr>
        <w:t>办公及被装经费</w:t>
      </w:r>
      <w:r>
        <w:rPr>
          <w:rFonts w:eastAsia="仿宋_GB2312"/>
          <w:sz w:val="32"/>
          <w:szCs w:val="32"/>
        </w:rPr>
        <w:t>专项资金费用范围，做到了专款专用。在项目资金拨付和使用过程中，为确保项目资金的安全性，提高项目资金使用效率，严格遵循</w:t>
      </w:r>
      <w:r>
        <w:rPr>
          <w:rStyle w:val="21"/>
          <w:rFonts w:eastAsia="仿宋_GB2312"/>
          <w:b w:val="0"/>
          <w:spacing w:val="-4"/>
          <w:sz w:val="32"/>
          <w:szCs w:val="32"/>
        </w:rPr>
        <w:t>办公及被装经费</w:t>
      </w:r>
      <w:r>
        <w:rPr>
          <w:rFonts w:eastAsia="仿宋_GB2312"/>
          <w:sz w:val="32"/>
          <w:szCs w:val="32"/>
        </w:rPr>
        <w:t>专项资金的拨付程序，认真审核项目实施各阶段的相关材料和手续，根据项目实施进展情况</w:t>
      </w:r>
      <w:r>
        <w:rPr>
          <w:rFonts w:hint="eastAsia" w:eastAsia="仿宋_GB2312"/>
          <w:sz w:val="32"/>
          <w:szCs w:val="32"/>
        </w:rPr>
        <w:t>支付</w:t>
      </w:r>
      <w:r>
        <w:rPr>
          <w:rFonts w:eastAsia="仿宋_GB2312"/>
          <w:sz w:val="32"/>
          <w:szCs w:val="32"/>
        </w:rPr>
        <w:t>资金。</w:t>
      </w:r>
    </w:p>
    <w:p>
      <w:pPr>
        <w:spacing w:line="560" w:lineRule="exact"/>
        <w:ind w:firstLine="640" w:firstLineChars="200"/>
        <w:rPr>
          <w:rFonts w:eastAsia="仿宋_GB2312"/>
          <w:sz w:val="32"/>
          <w:szCs w:val="32"/>
        </w:rPr>
      </w:pPr>
      <w:r>
        <w:rPr>
          <w:rFonts w:eastAsia="仿宋_GB2312"/>
          <w:sz w:val="32"/>
          <w:szCs w:val="32"/>
        </w:rPr>
        <w:t>（2）预算资金来源及使用情况</w:t>
      </w:r>
      <w:bookmarkStart w:id="0" w:name="page10"/>
      <w:bookmarkEnd w:id="0"/>
    </w:p>
    <w:p>
      <w:pPr>
        <w:spacing w:line="560" w:lineRule="exact"/>
        <w:ind w:firstLine="640" w:firstLineChars="200"/>
        <w:rPr>
          <w:rStyle w:val="21"/>
          <w:rFonts w:eastAsia="楷体"/>
          <w:spacing w:val="-4"/>
          <w:sz w:val="32"/>
          <w:szCs w:val="32"/>
        </w:rPr>
      </w:pPr>
      <w:r>
        <w:rPr>
          <w:rFonts w:eastAsia="仿宋_GB2312"/>
          <w:sz w:val="32"/>
          <w:szCs w:val="32"/>
        </w:rPr>
        <w:t>项目预算资金来源于财政拨款，项目资金到位</w:t>
      </w:r>
      <w:r>
        <w:rPr>
          <w:rFonts w:hint="default" w:eastAsia="仿宋_GB2312"/>
          <w:sz w:val="32"/>
          <w:szCs w:val="32"/>
        </w:rPr>
        <w:t>175</w:t>
      </w:r>
      <w:r>
        <w:rPr>
          <w:rFonts w:eastAsia="仿宋_GB2312"/>
          <w:sz w:val="32"/>
          <w:szCs w:val="32"/>
        </w:rPr>
        <w:t>万元，用于</w:t>
      </w:r>
      <w:r>
        <w:rPr>
          <w:rStyle w:val="21"/>
          <w:rFonts w:eastAsia="仿宋_GB2312"/>
          <w:b w:val="0"/>
          <w:spacing w:val="-4"/>
          <w:sz w:val="32"/>
          <w:szCs w:val="32"/>
        </w:rPr>
        <w:t>办公及被装经费专项资金，</w:t>
      </w:r>
      <w:r>
        <w:rPr>
          <w:rFonts w:eastAsia="仿宋_GB2312"/>
          <w:sz w:val="32"/>
          <w:szCs w:val="32"/>
        </w:rPr>
        <w:t>主要用于</w:t>
      </w:r>
      <w:r>
        <w:rPr>
          <w:rFonts w:hint="eastAsia" w:eastAsia="仿宋_GB2312"/>
          <w:sz w:val="32"/>
          <w:szCs w:val="32"/>
          <w:lang w:eastAsia="zh-Hans"/>
        </w:rPr>
        <w:t>：</w:t>
      </w:r>
      <w:r>
        <w:rPr>
          <w:rFonts w:hint="eastAsia" w:eastAsia="仿宋_GB2312"/>
          <w:sz w:val="32"/>
          <w:szCs w:val="32"/>
          <w:lang w:val="en-US" w:eastAsia="zh-Hans"/>
        </w:rPr>
        <w:t>水费、电费、办公费、邮电费、差旅费、被装费。</w:t>
      </w:r>
      <w:r>
        <w:rPr>
          <w:rFonts w:hint="eastAsia" w:eastAsia="仿宋_GB2312"/>
          <w:sz w:val="32"/>
          <w:szCs w:val="32"/>
        </w:rPr>
        <w:t>水费</w:t>
      </w:r>
      <w:r>
        <w:rPr>
          <w:rFonts w:hint="eastAsia" w:eastAsia="仿宋_GB2312"/>
          <w:sz w:val="32"/>
          <w:szCs w:val="32"/>
          <w:lang w:val="en-US" w:eastAsia="zh-Hans"/>
        </w:rPr>
        <w:t>使用资金数</w:t>
      </w:r>
      <w:r>
        <w:rPr>
          <w:rFonts w:hint="eastAsia" w:eastAsia="仿宋_GB2312"/>
          <w:sz w:val="32"/>
          <w:szCs w:val="32"/>
          <w:lang w:val="en-US" w:eastAsia="zh-CN"/>
        </w:rPr>
        <w:t>35万元</w:t>
      </w:r>
      <w:r>
        <w:rPr>
          <w:rFonts w:hint="eastAsia" w:eastAsia="仿宋_GB2312"/>
          <w:sz w:val="32"/>
          <w:szCs w:val="32"/>
        </w:rPr>
        <w:t>、电费</w:t>
      </w:r>
      <w:r>
        <w:rPr>
          <w:rFonts w:hint="eastAsia" w:eastAsia="仿宋_GB2312"/>
          <w:sz w:val="32"/>
          <w:szCs w:val="32"/>
          <w:lang w:val="en-US" w:eastAsia="zh-Hans"/>
        </w:rPr>
        <w:t>使用资金数</w:t>
      </w:r>
      <w:r>
        <w:rPr>
          <w:rFonts w:hint="eastAsia" w:eastAsia="仿宋_GB2312"/>
          <w:sz w:val="32"/>
          <w:szCs w:val="32"/>
          <w:lang w:val="en-US" w:eastAsia="zh-CN"/>
        </w:rPr>
        <w:t xml:space="preserve">35万元 </w:t>
      </w:r>
      <w:r>
        <w:rPr>
          <w:rFonts w:hint="eastAsia" w:eastAsia="仿宋_GB2312"/>
          <w:sz w:val="32"/>
          <w:szCs w:val="32"/>
        </w:rPr>
        <w:t>、</w:t>
      </w:r>
      <w:r>
        <w:rPr>
          <w:rFonts w:hint="eastAsia" w:eastAsia="仿宋_GB2312"/>
          <w:sz w:val="32"/>
          <w:szCs w:val="32"/>
          <w:lang w:eastAsia="zh-CN"/>
        </w:rPr>
        <w:t>办公费</w:t>
      </w:r>
      <w:r>
        <w:rPr>
          <w:rFonts w:hint="eastAsia" w:eastAsia="仿宋_GB2312"/>
          <w:sz w:val="32"/>
          <w:szCs w:val="32"/>
          <w:lang w:val="en-US" w:eastAsia="zh-Hans"/>
        </w:rPr>
        <w:t>使用资金数</w:t>
      </w:r>
      <w:r>
        <w:rPr>
          <w:rFonts w:hint="eastAsia" w:eastAsia="仿宋_GB2312"/>
          <w:sz w:val="32"/>
          <w:szCs w:val="32"/>
          <w:lang w:val="en-US" w:eastAsia="zh-CN"/>
        </w:rPr>
        <w:t>42万元、</w:t>
      </w:r>
      <w:r>
        <w:rPr>
          <w:rFonts w:hint="eastAsia" w:eastAsia="仿宋_GB2312"/>
          <w:sz w:val="32"/>
          <w:szCs w:val="32"/>
        </w:rPr>
        <w:t>邮电费</w:t>
      </w:r>
      <w:r>
        <w:rPr>
          <w:rFonts w:hint="eastAsia" w:eastAsia="仿宋_GB2312"/>
          <w:sz w:val="32"/>
          <w:szCs w:val="32"/>
          <w:lang w:val="en-US" w:eastAsia="zh-Hans"/>
        </w:rPr>
        <w:t>使用资金数</w:t>
      </w:r>
      <w:r>
        <w:rPr>
          <w:rFonts w:hint="eastAsia" w:eastAsia="仿宋_GB2312"/>
          <w:sz w:val="32"/>
          <w:szCs w:val="32"/>
          <w:lang w:val="en-US" w:eastAsia="zh-CN"/>
        </w:rPr>
        <w:t>8万元</w:t>
      </w:r>
      <w:r>
        <w:rPr>
          <w:rFonts w:hint="eastAsia" w:eastAsia="仿宋_GB2312"/>
          <w:sz w:val="32"/>
          <w:szCs w:val="32"/>
        </w:rPr>
        <w:t>、</w:t>
      </w:r>
      <w:r>
        <w:rPr>
          <w:rFonts w:hint="eastAsia" w:eastAsia="仿宋_GB2312"/>
          <w:sz w:val="32"/>
          <w:szCs w:val="32"/>
          <w:lang w:eastAsia="zh-CN"/>
        </w:rPr>
        <w:t>差旅费</w:t>
      </w:r>
      <w:r>
        <w:rPr>
          <w:rFonts w:hint="eastAsia" w:eastAsia="仿宋_GB2312"/>
          <w:sz w:val="32"/>
          <w:szCs w:val="32"/>
          <w:lang w:val="en-US" w:eastAsia="zh-Hans"/>
        </w:rPr>
        <w:t>使用资金数</w:t>
      </w:r>
      <w:r>
        <w:rPr>
          <w:rFonts w:hint="eastAsia" w:eastAsia="仿宋_GB2312"/>
          <w:sz w:val="32"/>
          <w:szCs w:val="32"/>
          <w:lang w:val="en-US" w:eastAsia="zh-CN"/>
        </w:rPr>
        <w:t>5万元、</w:t>
      </w:r>
      <w:r>
        <w:rPr>
          <w:rFonts w:hint="eastAsia" w:eastAsia="仿宋_GB2312"/>
          <w:sz w:val="32"/>
          <w:szCs w:val="32"/>
        </w:rPr>
        <w:t>被装费</w:t>
      </w:r>
      <w:r>
        <w:rPr>
          <w:rFonts w:hint="eastAsia" w:eastAsia="仿宋_GB2312"/>
          <w:sz w:val="32"/>
          <w:szCs w:val="32"/>
          <w:lang w:val="en-US" w:eastAsia="zh-Hans"/>
        </w:rPr>
        <w:t>使用资金数</w:t>
      </w:r>
      <w:r>
        <w:rPr>
          <w:rFonts w:hint="eastAsia" w:eastAsia="仿宋_GB2312"/>
          <w:sz w:val="32"/>
          <w:szCs w:val="32"/>
          <w:lang w:val="en-US" w:eastAsia="zh-CN"/>
        </w:rPr>
        <w:t>37.07万元，</w:t>
      </w:r>
      <w:r>
        <w:rPr>
          <w:rFonts w:hint="eastAsia" w:eastAsia="仿宋_GB2312"/>
          <w:sz w:val="32"/>
          <w:szCs w:val="32"/>
          <w:lang w:eastAsia="zh-CN"/>
        </w:rPr>
        <w:t>共计</w:t>
      </w:r>
      <w:r>
        <w:rPr>
          <w:rFonts w:eastAsia="仿宋_GB2312"/>
          <w:sz w:val="32"/>
          <w:szCs w:val="32"/>
        </w:rPr>
        <w:t>162.07万元。</w:t>
      </w:r>
    </w:p>
    <w:p>
      <w:pPr>
        <w:spacing w:line="560" w:lineRule="exact"/>
        <w:ind w:firstLine="640" w:firstLineChars="200"/>
        <w:rPr>
          <w:rFonts w:eastAsia="楷体_GB2312"/>
          <w:bCs/>
          <w:sz w:val="32"/>
          <w:szCs w:val="32"/>
        </w:rPr>
      </w:pPr>
      <w:r>
        <w:rPr>
          <w:rFonts w:eastAsia="楷体_GB2312"/>
          <w:bCs/>
          <w:sz w:val="32"/>
          <w:szCs w:val="32"/>
        </w:rPr>
        <w:t>（二）项目绩效目标</w:t>
      </w:r>
    </w:p>
    <w:p>
      <w:pPr>
        <w:spacing w:line="560" w:lineRule="exact"/>
        <w:ind w:firstLine="643" w:firstLineChars="200"/>
        <w:rPr>
          <w:rFonts w:eastAsia="仿宋_GB2312"/>
          <w:b/>
          <w:sz w:val="32"/>
          <w:szCs w:val="32"/>
        </w:rPr>
      </w:pPr>
      <w:r>
        <w:rPr>
          <w:rFonts w:eastAsia="仿宋_GB2312"/>
          <w:b/>
          <w:sz w:val="32"/>
          <w:szCs w:val="32"/>
        </w:rPr>
        <w:t>1、总体目标</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办公及被装经费项目</w:t>
      </w:r>
      <w:r>
        <w:rPr>
          <w:rStyle w:val="21"/>
          <w:rFonts w:hint="eastAsia" w:eastAsia="仿宋_GB2312"/>
          <w:b w:val="0"/>
          <w:spacing w:val="-4"/>
          <w:sz w:val="32"/>
          <w:szCs w:val="32"/>
        </w:rPr>
        <w:t>经费中被装经费能够保障民警在工作管理中，按要求统一着人民警察服装，做到管理制度化、行为规范化。其余为弥补正常办公经费不足部分，主要用于水费、电费、办公费、邮电费、差旅费，以保障学校正常建设发展及教职工培养，从硬件及软件两方面满足办学及培训要求。</w:t>
      </w:r>
    </w:p>
    <w:p>
      <w:pPr>
        <w:spacing w:line="560" w:lineRule="exact"/>
        <w:ind w:firstLine="643" w:firstLineChars="200"/>
        <w:rPr>
          <w:rFonts w:eastAsia="仿宋_GB2312"/>
          <w:b/>
        </w:rPr>
      </w:pPr>
      <w:r>
        <w:rPr>
          <w:rFonts w:eastAsia="仿宋_GB2312"/>
          <w:b/>
          <w:sz w:val="32"/>
          <w:szCs w:val="32"/>
        </w:rPr>
        <w:t>2、阶段性目标</w:t>
      </w:r>
    </w:p>
    <w:p>
      <w:pPr>
        <w:spacing w:line="560" w:lineRule="exact"/>
        <w:ind w:firstLine="640" w:firstLineChars="200"/>
        <w:rPr>
          <w:rFonts w:eastAsia="仿宋_GB2312"/>
          <w:b/>
        </w:rPr>
      </w:pPr>
      <w:r>
        <w:rPr>
          <w:rFonts w:eastAsia="仿宋_GB2312"/>
          <w:sz w:val="32"/>
          <w:szCs w:val="32"/>
        </w:rPr>
        <w:t>（1）前期准备：通过在职民警人数测算</w:t>
      </w:r>
      <w:r>
        <w:rPr>
          <w:rFonts w:hint="eastAsia" w:eastAsia="仿宋_GB2312"/>
          <w:sz w:val="32"/>
          <w:szCs w:val="32"/>
        </w:rPr>
        <w:t>以及上年水电等经费使用数，</w:t>
      </w:r>
      <w:r>
        <w:rPr>
          <w:rFonts w:eastAsia="仿宋_GB2312"/>
          <w:sz w:val="32"/>
          <w:szCs w:val="32"/>
        </w:rPr>
        <w:t>经</w:t>
      </w:r>
      <w:r>
        <w:rPr>
          <w:rFonts w:hint="eastAsia" w:eastAsia="仿宋_GB2312"/>
          <w:sz w:val="32"/>
          <w:szCs w:val="32"/>
        </w:rPr>
        <w:t>政治处、总务科核对</w:t>
      </w:r>
      <w:r>
        <w:rPr>
          <w:rFonts w:eastAsia="仿宋_GB2312"/>
          <w:sz w:val="32"/>
          <w:szCs w:val="32"/>
        </w:rPr>
        <w:t>后，有序开展后续工作。</w:t>
      </w:r>
    </w:p>
    <w:p>
      <w:pPr>
        <w:spacing w:line="540" w:lineRule="exact"/>
        <w:ind w:firstLine="567"/>
        <w:rPr>
          <w:rStyle w:val="21"/>
          <w:rFonts w:ascii="仿宋_GB2312" w:hAnsi="楷体" w:eastAsia="仿宋_GB2312"/>
          <w:b w:val="0"/>
          <w:spacing w:val="-4"/>
          <w:sz w:val="32"/>
          <w:szCs w:val="32"/>
        </w:rPr>
      </w:pPr>
      <w:r>
        <w:rPr>
          <w:rFonts w:eastAsia="仿宋_GB2312"/>
          <w:sz w:val="32"/>
          <w:szCs w:val="32"/>
        </w:rPr>
        <w:t>（2）组织实施：资金到位</w:t>
      </w:r>
      <w:r>
        <w:rPr>
          <w:rFonts w:hint="eastAsia" w:eastAsia="仿宋_GB2312"/>
          <w:sz w:val="32"/>
          <w:szCs w:val="32"/>
        </w:rPr>
        <w:t>后</w:t>
      </w:r>
      <w:r>
        <w:rPr>
          <w:rFonts w:eastAsia="仿宋_GB2312"/>
          <w:sz w:val="32"/>
          <w:szCs w:val="32"/>
        </w:rPr>
        <w:t>，立即</w:t>
      </w:r>
      <w:r>
        <w:rPr>
          <w:rStyle w:val="21"/>
          <w:rFonts w:hint="eastAsia" w:ascii="仿宋_GB2312" w:hAnsi="楷体" w:eastAsia="仿宋_GB2312"/>
          <w:b w:val="0"/>
          <w:spacing w:val="-4"/>
          <w:sz w:val="32"/>
          <w:szCs w:val="32"/>
        </w:rPr>
        <w:t>依据《关于调整人民警察服装及服饰预算指导价格的通知》（公装财【2008】304号）及《关于调整统一着装部门2011年服装采购价格的通知》（财行【2011】201号），通知相关科室进行采购及支付工作。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二、绩效评价工作开展情况</w:t>
      </w:r>
    </w:p>
    <w:p>
      <w:pPr>
        <w:spacing w:line="560" w:lineRule="exact"/>
        <w:ind w:firstLine="640" w:firstLineChars="200"/>
        <w:rPr>
          <w:rFonts w:eastAsia="仿宋_GB2312"/>
          <w:bCs/>
          <w:sz w:val="32"/>
          <w:szCs w:val="32"/>
        </w:rPr>
      </w:pPr>
      <w:r>
        <w:rPr>
          <w:rFonts w:eastAsia="仿宋_GB2312"/>
          <w:bCs/>
          <w:sz w:val="32"/>
          <w:szCs w:val="32"/>
        </w:rPr>
        <w:t>（一）绩效评价目的、对象和范围</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1"/>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pStyle w:val="51"/>
        <w:spacing w:line="560" w:lineRule="exact"/>
        <w:ind w:firstLine="640" w:firstLineChars="200"/>
        <w:rPr>
          <w:rFonts w:eastAsia="方正仿宋_GBK" w:cs="方正仿宋_GBK"/>
          <w:sz w:val="32"/>
          <w:szCs w:val="32"/>
        </w:rPr>
      </w:pPr>
      <w:r>
        <w:rPr>
          <w:rFonts w:hint="eastAsia" w:ascii="仿宋_GB2312" w:hAnsi="仿宋_GB2312" w:eastAsia="仿宋_GB2312" w:cs="仿宋_GB2312"/>
          <w:sz w:val="32"/>
          <w:szCs w:val="32"/>
        </w:rPr>
        <w:t>综合来看，通过开展有效的财政支出绩效评价管理，全面了解该项目预算编制合理性、资金使用合规性、项目管理的规范性、项目目标的实现情况、服务对象的满意度等，通过本次</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绩效评价来总结经验和教训，促进项目成果转化和应用，为今后类似项目的长效管理，提供可行性参考建议。也为下一年预算编制与评审提供充分有效的依据，以</w:t>
      </w:r>
      <w:r>
        <w:rPr>
          <w:rFonts w:hint="eastAsia" w:ascii="仿宋_GB2312" w:hAnsi="仿宋_GB2312" w:eastAsia="仿宋_GB2312" w:cs="仿宋_GB2312"/>
          <w:sz w:val="32"/>
          <w:szCs w:val="32"/>
          <w:lang w:eastAsia="zh-Hans"/>
        </w:rPr>
        <w:t>达到</w:t>
      </w:r>
      <w:r>
        <w:rPr>
          <w:rFonts w:hint="eastAsia" w:ascii="仿宋_GB2312" w:hAnsi="仿宋_GB2312" w:eastAsia="仿宋_GB2312" w:cs="仿宋_GB2312"/>
          <w:sz w:val="32"/>
          <w:szCs w:val="32"/>
        </w:rPr>
        <w:t>改进预算管理、控制节约成本，优化资源配置</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提高预算资金使用效益的目的。</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2、绩效评价的对象</w:t>
      </w:r>
    </w:p>
    <w:p>
      <w:pPr>
        <w:spacing w:line="560" w:lineRule="exact"/>
        <w:ind w:firstLine="624" w:firstLineChars="200"/>
        <w:rPr>
          <w:rFonts w:eastAsia="仿宋_GB2312"/>
          <w:sz w:val="32"/>
          <w:szCs w:val="32"/>
        </w:rPr>
      </w:pPr>
      <w:r>
        <w:rPr>
          <w:rStyle w:val="21"/>
          <w:rFonts w:eastAsia="仿宋_GB2312"/>
          <w:b w:val="0"/>
          <w:spacing w:val="-4"/>
          <w:sz w:val="32"/>
          <w:szCs w:val="32"/>
        </w:rPr>
        <w:t>办公及被装</w:t>
      </w:r>
      <w:r>
        <w:rPr>
          <w:rFonts w:hAnsi="仿宋_GB2312" w:eastAsia="仿宋_GB2312"/>
          <w:sz w:val="32"/>
          <w:szCs w:val="32"/>
        </w:rPr>
        <w:t>项目所包含的全部项目内容。</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3、绩效评价的范围</w:t>
      </w:r>
    </w:p>
    <w:p>
      <w:pPr>
        <w:spacing w:line="560" w:lineRule="exact"/>
        <w:ind w:firstLine="640" w:firstLineChars="200"/>
        <w:rPr>
          <w:rFonts w:eastAsia="仿宋_GB2312"/>
          <w:sz w:val="32"/>
          <w:szCs w:val="32"/>
          <w:highlight w:val="yellow"/>
        </w:rPr>
      </w:pPr>
      <w:r>
        <w:rPr>
          <w:rFonts w:hAnsi="仿宋_GB2312" w:eastAsia="仿宋_GB2312"/>
          <w:sz w:val="32"/>
          <w:szCs w:val="32"/>
        </w:rPr>
        <w:t>本次评价从项目决策、项目管理、项目产出、项目效益四个维度对</w:t>
      </w:r>
      <w:r>
        <w:rPr>
          <w:rStyle w:val="21"/>
          <w:rFonts w:eastAsia="仿宋_GB2312"/>
          <w:b w:val="0"/>
          <w:spacing w:val="-4"/>
          <w:sz w:val="32"/>
          <w:szCs w:val="32"/>
        </w:rPr>
        <w:t>办公及被装</w:t>
      </w:r>
      <w:r>
        <w:rPr>
          <w:rFonts w:hAnsi="仿宋_GB2312" w:eastAsia="仿宋_GB2312"/>
          <w:sz w:val="32"/>
          <w:szCs w:val="32"/>
        </w:rPr>
        <w:t>项目进行评价，评价核心为专项资金的支出完成情况和效果。</w:t>
      </w:r>
    </w:p>
    <w:p>
      <w:pPr>
        <w:spacing w:line="560" w:lineRule="exact"/>
        <w:ind w:firstLine="640" w:firstLineChars="200"/>
        <w:rPr>
          <w:rFonts w:eastAsia="楷体_GB2312"/>
          <w:bCs/>
          <w:sz w:val="32"/>
          <w:szCs w:val="32"/>
        </w:rPr>
      </w:pPr>
      <w:r>
        <w:rPr>
          <w:rFonts w:eastAsia="楷体_GB2312"/>
          <w:bCs/>
          <w:sz w:val="32"/>
          <w:szCs w:val="32"/>
        </w:rPr>
        <w:t>（二）绩效评价原则、评价指标体系（详情见表1）、评价方法、评价标准。</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1、绩效评价原则</w:t>
      </w:r>
    </w:p>
    <w:p>
      <w:pPr>
        <w:spacing w:line="560" w:lineRule="exact"/>
        <w:ind w:firstLine="640" w:firstLineChars="200"/>
        <w:rPr>
          <w:rFonts w:eastAsia="仿宋_GB2312"/>
          <w:sz w:val="32"/>
          <w:szCs w:val="32"/>
        </w:rPr>
      </w:pPr>
      <w:r>
        <w:rPr>
          <w:rFonts w:eastAsia="仿宋_GB2312"/>
          <w:sz w:val="32"/>
          <w:szCs w:val="32"/>
        </w:rPr>
        <w:t>本次项目绩效评价遵循以下基本原则：</w:t>
      </w:r>
    </w:p>
    <w:p>
      <w:pPr>
        <w:spacing w:line="560" w:lineRule="exact"/>
        <w:ind w:firstLine="640" w:firstLineChars="200"/>
        <w:rPr>
          <w:rFonts w:eastAsia="仿宋_GB2312"/>
          <w:sz w:val="32"/>
          <w:szCs w:val="32"/>
        </w:rPr>
      </w:pPr>
      <w:r>
        <w:rPr>
          <w:rFonts w:eastAsia="仿宋_GB2312"/>
          <w:sz w:val="32"/>
          <w:szCs w:val="32"/>
        </w:rPr>
        <w:t>（1）科学公正。绩效评价应当运用科学合理的方法，按照规范的程序，对项目绩效进行客观、公正的反映。</w:t>
      </w:r>
    </w:p>
    <w:p>
      <w:pPr>
        <w:spacing w:line="560" w:lineRule="exact"/>
        <w:ind w:firstLine="640" w:firstLineChars="200"/>
        <w:rPr>
          <w:rFonts w:eastAsia="仿宋_GB2312"/>
          <w:sz w:val="32"/>
          <w:szCs w:val="32"/>
        </w:rPr>
      </w:pPr>
      <w:r>
        <w:rPr>
          <w:rFonts w:eastAsia="仿宋_GB2312"/>
          <w:sz w:val="32"/>
          <w:szCs w:val="32"/>
        </w:rPr>
        <w:t>（2）统筹兼顾。单位自评、部门评价和财政评价应职责明确，各有侧重，相互衔接。单位自评应由项目单位自主实施，即“谁支出、谁自评”。部门评价和财政评价应在单位自评的基础上开展。</w:t>
      </w:r>
    </w:p>
    <w:p>
      <w:pPr>
        <w:spacing w:line="560" w:lineRule="exact"/>
        <w:ind w:firstLine="640" w:firstLineChars="200"/>
        <w:rPr>
          <w:rFonts w:eastAsia="仿宋_GB2312"/>
          <w:sz w:val="32"/>
          <w:szCs w:val="32"/>
        </w:rPr>
      </w:pPr>
      <w:r>
        <w:rPr>
          <w:rFonts w:eastAsia="仿宋_GB2312"/>
          <w:sz w:val="32"/>
          <w:szCs w:val="32"/>
        </w:rPr>
        <w:t>（3）激励约束。绩效评价结果应与预算安排、政策调整、改进管理实质性挂钩，体现奖优罚劣和激励相容导向，有效要安排、低效要压减、无效要问责。</w:t>
      </w:r>
    </w:p>
    <w:p>
      <w:pPr>
        <w:spacing w:line="560" w:lineRule="exact"/>
        <w:ind w:firstLine="640" w:firstLineChars="200"/>
        <w:rPr>
          <w:rFonts w:eastAsia="仿宋_GB2312"/>
          <w:sz w:val="32"/>
          <w:szCs w:val="32"/>
        </w:rPr>
      </w:pPr>
      <w:r>
        <w:rPr>
          <w:rFonts w:eastAsia="仿宋_GB2312"/>
          <w:sz w:val="32"/>
          <w:szCs w:val="32"/>
        </w:rPr>
        <w:t>（4）公开透明。绩效评价结果应依法依规公开，并自觉接受社会监督。</w:t>
      </w:r>
    </w:p>
    <w:p>
      <w:pPr>
        <w:spacing w:line="560" w:lineRule="exact"/>
        <w:ind w:firstLine="643" w:firstLineChars="200"/>
        <w:rPr>
          <w:rFonts w:eastAsia="仿宋_GB2312"/>
          <w:b/>
          <w:sz w:val="32"/>
          <w:szCs w:val="32"/>
        </w:rPr>
      </w:pPr>
      <w:r>
        <w:rPr>
          <w:rFonts w:eastAsia="仿宋_GB2312"/>
          <w:b/>
          <w:sz w:val="32"/>
          <w:szCs w:val="32"/>
        </w:rPr>
        <w:t>2、评价指标体系</w:t>
      </w:r>
    </w:p>
    <w:p>
      <w:pPr>
        <w:spacing w:line="560" w:lineRule="exact"/>
        <w:ind w:firstLine="640" w:firstLineChars="200"/>
        <w:rPr>
          <w:rFonts w:eastAsia="仿宋_GB2312"/>
          <w:sz w:val="32"/>
          <w:szCs w:val="32"/>
        </w:rPr>
      </w:pPr>
      <w:r>
        <w:rPr>
          <w:rFonts w:eastAsia="仿宋_GB2312"/>
          <w:sz w:val="32"/>
          <w:szCs w:val="32"/>
        </w:rPr>
        <w:t>绩效评价框架是开展绩效评价的核心。绩效评价框架包括评价准则、关键评价问题、评价指标、数据来源、数据收集方法等。指标体系建立过程如下：</w:t>
      </w:r>
    </w:p>
    <w:p>
      <w:pPr>
        <w:spacing w:line="560" w:lineRule="exact"/>
        <w:ind w:firstLine="640" w:firstLineChars="200"/>
        <w:rPr>
          <w:rFonts w:eastAsia="仿宋_GB2312"/>
          <w:sz w:val="32"/>
          <w:szCs w:val="32"/>
        </w:rPr>
      </w:pPr>
      <w:r>
        <w:rPr>
          <w:rFonts w:eastAsia="仿宋_GB2312"/>
          <w:sz w:val="32"/>
          <w:szCs w:val="32"/>
        </w:rPr>
        <w:t>（1）确定评价指标</w:t>
      </w:r>
    </w:p>
    <w:p>
      <w:pPr>
        <w:spacing w:line="560" w:lineRule="exact"/>
        <w:ind w:firstLine="640" w:firstLineChars="200"/>
        <w:rPr>
          <w:rFonts w:eastAsia="仿宋_GB2312"/>
          <w:sz w:val="32"/>
          <w:szCs w:val="32"/>
        </w:rPr>
      </w:pPr>
      <w:r>
        <w:rPr>
          <w:rFonts w:eastAsia="仿宋_GB2312"/>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640" w:firstLineChars="200"/>
        <w:rPr>
          <w:rFonts w:eastAsia="仿宋_GB2312"/>
          <w:sz w:val="32"/>
          <w:szCs w:val="32"/>
        </w:rPr>
      </w:pPr>
      <w:r>
        <w:rPr>
          <w:rFonts w:eastAsia="仿宋_GB2312"/>
          <w:sz w:val="32"/>
          <w:szCs w:val="32"/>
        </w:rPr>
        <w:t>（2）确定权重</w:t>
      </w:r>
    </w:p>
    <w:p>
      <w:pPr>
        <w:spacing w:line="560" w:lineRule="exact"/>
        <w:ind w:firstLine="640" w:firstLineChars="200"/>
        <w:rPr>
          <w:rFonts w:eastAsia="仿宋_GB2312"/>
          <w:sz w:val="32"/>
          <w:szCs w:val="32"/>
        </w:rPr>
      </w:pPr>
      <w:r>
        <w:rPr>
          <w:rFonts w:eastAsia="仿宋_GB2312"/>
          <w:sz w:val="32"/>
          <w:szCs w:val="32"/>
        </w:rPr>
        <w:t>确定各个指标相对于项目总体绩效的权重分值。在绩效评价指标体系中，项目决策权重为</w:t>
      </w:r>
      <w:r>
        <w:rPr>
          <w:rFonts w:hint="default" w:eastAsia="仿宋_GB2312"/>
          <w:sz w:val="32"/>
          <w:szCs w:val="32"/>
        </w:rPr>
        <w:t>20</w:t>
      </w:r>
      <w:r>
        <w:rPr>
          <w:rFonts w:eastAsia="仿宋_GB2312"/>
          <w:sz w:val="32"/>
          <w:szCs w:val="32"/>
        </w:rPr>
        <w:t>分，项目过程权重为</w:t>
      </w:r>
      <w:r>
        <w:rPr>
          <w:rFonts w:hint="default" w:eastAsia="仿宋_GB2312"/>
          <w:sz w:val="32"/>
          <w:szCs w:val="32"/>
        </w:rPr>
        <w:t>20</w:t>
      </w:r>
      <w:r>
        <w:rPr>
          <w:rFonts w:eastAsia="仿宋_GB2312"/>
          <w:sz w:val="32"/>
          <w:szCs w:val="32"/>
        </w:rPr>
        <w:t>分，项目产出权重为</w:t>
      </w:r>
      <w:r>
        <w:rPr>
          <w:rFonts w:hint="default" w:eastAsia="仿宋_GB2312"/>
          <w:sz w:val="32"/>
          <w:szCs w:val="32"/>
        </w:rPr>
        <w:t>40</w:t>
      </w:r>
      <w:r>
        <w:rPr>
          <w:rFonts w:eastAsia="仿宋_GB2312"/>
          <w:sz w:val="32"/>
          <w:szCs w:val="32"/>
        </w:rPr>
        <w:t>分，项目效益权重为</w:t>
      </w:r>
      <w:r>
        <w:rPr>
          <w:rFonts w:hint="default" w:eastAsia="仿宋_GB2312"/>
          <w:sz w:val="32"/>
          <w:szCs w:val="32"/>
        </w:rPr>
        <w:t>20</w:t>
      </w:r>
      <w:r>
        <w:rPr>
          <w:rFonts w:eastAsia="仿宋_GB2312"/>
          <w:sz w:val="32"/>
          <w:szCs w:val="32"/>
        </w:rPr>
        <w:t>分。</w:t>
      </w:r>
    </w:p>
    <w:p>
      <w:pPr>
        <w:spacing w:line="560" w:lineRule="exact"/>
        <w:ind w:firstLine="640" w:firstLineChars="200"/>
        <w:rPr>
          <w:rFonts w:eastAsia="仿宋_GB2312"/>
          <w:sz w:val="32"/>
          <w:szCs w:val="32"/>
        </w:rPr>
      </w:pPr>
      <w:r>
        <w:rPr>
          <w:rFonts w:eastAsia="仿宋_GB2312"/>
          <w:sz w:val="32"/>
          <w:szCs w:val="32"/>
        </w:rPr>
        <w:t>（3）确定指标标准值</w:t>
      </w:r>
    </w:p>
    <w:p>
      <w:pPr>
        <w:spacing w:line="560" w:lineRule="exact"/>
        <w:ind w:firstLine="640" w:firstLineChars="200"/>
        <w:rPr>
          <w:rFonts w:eastAsia="仿宋_GB2312"/>
          <w:sz w:val="32"/>
          <w:szCs w:val="32"/>
        </w:rPr>
      </w:pPr>
      <w:r>
        <w:rPr>
          <w:rFonts w:eastAsia="仿宋_GB2312"/>
          <w:sz w:val="32"/>
          <w:szCs w:val="32"/>
        </w:rPr>
        <w:t>指标标准值是绩效评价指标的尺度，既要反映同类项目的先进水平，又要符合项目的实际绩效水平。具体采用计划标准等确定此次绩效评价指标标准值。</w:t>
      </w:r>
    </w:p>
    <w:p>
      <w:pPr>
        <w:spacing w:line="560" w:lineRule="exact"/>
        <w:ind w:firstLine="640" w:firstLineChars="200"/>
        <w:rPr>
          <w:rFonts w:eastAsia="仿宋_GB2312"/>
          <w:sz w:val="32"/>
          <w:szCs w:val="32"/>
        </w:rPr>
      </w:pPr>
      <w:r>
        <w:rPr>
          <w:rFonts w:eastAsia="仿宋_GB2312"/>
          <w:sz w:val="32"/>
          <w:szCs w:val="3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spacing w:line="560" w:lineRule="exact"/>
        <w:ind w:firstLine="640" w:firstLineChars="200"/>
        <w:rPr>
          <w:rFonts w:eastAsia="仿宋_GB2312"/>
          <w:sz w:val="32"/>
          <w:szCs w:val="32"/>
        </w:rPr>
      </w:pPr>
      <w:r>
        <w:rPr>
          <w:rFonts w:eastAsia="仿宋_GB2312"/>
          <w:sz w:val="32"/>
          <w:szCs w:val="32"/>
        </w:rPr>
        <w:t>具体评价指标体系详情见附件1</w:t>
      </w:r>
    </w:p>
    <w:p>
      <w:pPr>
        <w:spacing w:line="560" w:lineRule="exact"/>
        <w:ind w:firstLine="643" w:firstLineChars="200"/>
        <w:rPr>
          <w:rFonts w:eastAsia="仿宋_GB2312"/>
          <w:b/>
          <w:sz w:val="32"/>
          <w:szCs w:val="32"/>
        </w:rPr>
      </w:pPr>
      <w:r>
        <w:rPr>
          <w:rFonts w:eastAsia="仿宋_GB2312"/>
          <w:b/>
          <w:sz w:val="32"/>
          <w:szCs w:val="32"/>
        </w:rPr>
        <w:t>3、绩效评价方法</w:t>
      </w:r>
    </w:p>
    <w:p>
      <w:pPr>
        <w:spacing w:line="560" w:lineRule="exact"/>
        <w:ind w:firstLine="640" w:firstLineChars="200"/>
        <w:rPr>
          <w:rFonts w:eastAsia="仿宋_GB2312"/>
          <w:sz w:val="32"/>
          <w:szCs w:val="32"/>
        </w:rPr>
      </w:pPr>
      <w:r>
        <w:rPr>
          <w:rFonts w:eastAsia="仿宋_GB2312"/>
          <w:sz w:val="32"/>
          <w:szCs w:val="32"/>
        </w:rPr>
        <w:t>绩效评价从项目决策、项目过程、项目产出、项目效益</w:t>
      </w:r>
      <w:r>
        <w:rPr>
          <w:rFonts w:hint="eastAsia" w:eastAsia="仿宋_GB2312"/>
          <w:sz w:val="32"/>
          <w:szCs w:val="32"/>
        </w:rPr>
        <w:t>四</w:t>
      </w:r>
      <w:r>
        <w:rPr>
          <w:rFonts w:eastAsia="仿宋_GB2312"/>
          <w:sz w:val="32"/>
          <w:szCs w:val="32"/>
        </w:rPr>
        <w:t>个维度进行评价。评价对象为项目目标实施情况，评价核心为资金的支出完成情况和项目的产出效益。</w:t>
      </w:r>
    </w:p>
    <w:p>
      <w:pPr>
        <w:spacing w:line="560" w:lineRule="exact"/>
        <w:ind w:firstLine="640" w:firstLineChars="200"/>
        <w:rPr>
          <w:rFonts w:eastAsia="仿宋_GB2312"/>
          <w:sz w:val="32"/>
          <w:szCs w:val="32"/>
        </w:rPr>
      </w:pPr>
      <w:r>
        <w:rPr>
          <w:rFonts w:eastAsia="仿宋_GB2312"/>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640" w:firstLineChars="200"/>
        <w:rPr>
          <w:rFonts w:eastAsia="仿宋_GB2312"/>
          <w:sz w:val="32"/>
          <w:szCs w:val="32"/>
        </w:rPr>
      </w:pPr>
      <w:r>
        <w:rPr>
          <w:rFonts w:eastAsia="仿宋_GB2312"/>
          <w:sz w:val="32"/>
          <w:szCs w:val="32"/>
        </w:rPr>
        <w:t>（1）比较法</w:t>
      </w:r>
    </w:p>
    <w:p>
      <w:pPr>
        <w:spacing w:line="560" w:lineRule="exact"/>
        <w:ind w:firstLine="640" w:firstLineChars="200"/>
        <w:rPr>
          <w:rFonts w:eastAsia="仿宋_GB2312"/>
          <w:sz w:val="32"/>
          <w:szCs w:val="32"/>
        </w:rPr>
      </w:pPr>
      <w:r>
        <w:rPr>
          <w:rFonts w:eastAsia="仿宋_GB2312"/>
          <w:sz w:val="32"/>
          <w:szCs w:val="32"/>
        </w:rPr>
        <w:t>通过对绩效目标与实施效果、历史与当期情况，综合分析绩效目标实现程度。对项目最终验收情况与年度绩效目标对比、预算资金执行情况等相关因素进行比较。</w:t>
      </w:r>
    </w:p>
    <w:p>
      <w:pPr>
        <w:spacing w:line="560" w:lineRule="exact"/>
        <w:ind w:firstLine="640" w:firstLineChars="200"/>
        <w:rPr>
          <w:rFonts w:eastAsia="仿宋_GB2312"/>
          <w:sz w:val="32"/>
          <w:szCs w:val="32"/>
        </w:rPr>
      </w:pPr>
      <w:r>
        <w:rPr>
          <w:rFonts w:eastAsia="仿宋_GB2312"/>
          <w:sz w:val="32"/>
          <w:szCs w:val="32"/>
        </w:rPr>
        <w:t>（2）因素分析法</w:t>
      </w:r>
    </w:p>
    <w:p>
      <w:pPr>
        <w:spacing w:line="560" w:lineRule="exact"/>
        <w:ind w:firstLine="640" w:firstLineChars="200"/>
        <w:rPr>
          <w:rFonts w:eastAsia="仿宋_GB2312"/>
          <w:sz w:val="32"/>
          <w:szCs w:val="32"/>
        </w:rPr>
      </w:pPr>
      <w:r>
        <w:rPr>
          <w:rFonts w:eastAsia="仿宋_GB2312"/>
          <w:sz w:val="32"/>
          <w:szCs w:val="32"/>
        </w:rPr>
        <w:t>通过综合分析影响绩效目标实现、实施效果的内外因素，评价绩效目标实现程度。通过对项目的开展情况、项目产出数量、成本控制、资金拨付文件及自评报告等相关资料的收集和审核，综合分析各因素对绩效目标实现的影响。</w:t>
      </w:r>
    </w:p>
    <w:p>
      <w:pPr>
        <w:spacing w:line="560" w:lineRule="exact"/>
        <w:ind w:firstLine="643" w:firstLineChars="200"/>
        <w:rPr>
          <w:rFonts w:eastAsia="仿宋_GB2312"/>
          <w:b/>
          <w:sz w:val="32"/>
          <w:szCs w:val="32"/>
        </w:rPr>
      </w:pPr>
      <w:r>
        <w:rPr>
          <w:rFonts w:eastAsia="仿宋_GB2312"/>
          <w:b/>
          <w:sz w:val="32"/>
          <w:szCs w:val="32"/>
        </w:rPr>
        <w:t>4、评价标准</w:t>
      </w:r>
    </w:p>
    <w:p>
      <w:pPr>
        <w:spacing w:line="560" w:lineRule="exact"/>
        <w:ind w:firstLine="640" w:firstLineChars="200"/>
        <w:rPr>
          <w:rFonts w:eastAsia="仿宋_GB2312"/>
          <w:sz w:val="32"/>
          <w:szCs w:val="32"/>
        </w:rPr>
      </w:pPr>
      <w:r>
        <w:rPr>
          <w:rFonts w:eastAsia="仿宋_GB2312"/>
          <w:sz w:val="32"/>
          <w:szCs w:val="32"/>
        </w:rPr>
        <w:t>绩效评价标准通常包括计划标准、行业标准、历史标准等，用于对绩效指标完成情况进行比较。本次评价主要采用了计划标准和行业标准。</w:t>
      </w:r>
    </w:p>
    <w:p>
      <w:pPr>
        <w:spacing w:line="560" w:lineRule="exact"/>
        <w:ind w:firstLine="640"/>
        <w:rPr>
          <w:rFonts w:hint="eastAsia" w:ascii="仿宋_GB2312" w:hAnsi="仿宋_GB2312" w:eastAsia="仿宋_GB2312" w:cs="仿宋_GB2312"/>
          <w:b w:val="0"/>
          <w:bCs w:val="0"/>
          <w:sz w:val="32"/>
          <w:szCs w:val="32"/>
        </w:rPr>
      </w:pPr>
      <w:bookmarkStart w:id="1" w:name="_Toc17882"/>
      <w:bookmarkStart w:id="2" w:name="_Toc31464"/>
      <w:r>
        <w:rPr>
          <w:rFonts w:hint="eastAsia" w:ascii="仿宋_GB2312" w:hAnsi="仿宋_GB2312" w:eastAsia="仿宋_GB2312" w:cs="仿宋_GB2312"/>
          <w:b w:val="0"/>
          <w:bCs w:val="0"/>
          <w:sz w:val="32"/>
          <w:szCs w:val="32"/>
        </w:rPr>
        <w:t>计划标准：指以预先制定的目标、计划、预算、定额等作为评价标准。</w:t>
      </w:r>
      <w:bookmarkEnd w:id="1"/>
      <w:bookmarkEnd w:id="2"/>
    </w:p>
    <w:p>
      <w:pPr>
        <w:spacing w:line="560" w:lineRule="exact"/>
        <w:ind w:firstLine="640"/>
        <w:rPr>
          <w:rFonts w:hint="eastAsia" w:ascii="仿宋_GB2312" w:hAnsi="仿宋_GB2312" w:eastAsia="仿宋_GB2312" w:cs="仿宋_GB2312"/>
          <w:b w:val="0"/>
          <w:bCs w:val="0"/>
          <w:sz w:val="32"/>
          <w:szCs w:val="32"/>
        </w:rPr>
      </w:pPr>
      <w:bookmarkStart w:id="3" w:name="_Toc5633"/>
      <w:bookmarkStart w:id="4" w:name="_Toc2318"/>
      <w:r>
        <w:rPr>
          <w:rFonts w:hint="eastAsia" w:ascii="仿宋_GB2312" w:hAnsi="仿宋_GB2312" w:eastAsia="仿宋_GB2312" w:cs="仿宋_GB2312"/>
          <w:b w:val="0"/>
          <w:bCs w:val="0"/>
          <w:sz w:val="32"/>
          <w:szCs w:val="32"/>
        </w:rPr>
        <w:t>行业标准：指参照国家公布的行业指标数据制定的评价标准。</w:t>
      </w:r>
      <w:bookmarkEnd w:id="3"/>
      <w:bookmarkEnd w:id="4"/>
    </w:p>
    <w:p>
      <w:pPr>
        <w:spacing w:line="560" w:lineRule="exact"/>
        <w:ind w:firstLine="640" w:firstLineChars="200"/>
        <w:rPr>
          <w:rFonts w:eastAsia="楷体_GB2312"/>
          <w:sz w:val="32"/>
          <w:szCs w:val="32"/>
        </w:rPr>
      </w:pPr>
      <w:r>
        <w:rPr>
          <w:rFonts w:eastAsia="楷体_GB2312"/>
          <w:sz w:val="32"/>
          <w:szCs w:val="32"/>
        </w:rPr>
        <w:t>（三）绩效评价工作过程</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前期准备。</w:t>
      </w:r>
      <w:r>
        <w:rPr>
          <w:rFonts w:eastAsia="仿宋_GB2312"/>
          <w:bCs/>
          <w:sz w:val="32"/>
          <w:szCs w:val="32"/>
        </w:rPr>
        <w:t>首先明确项目绩效目标，设计绩效评价指标体系并确定绩效评价方法；</w:t>
      </w:r>
      <w:r>
        <w:rPr>
          <w:rFonts w:hint="eastAsia" w:eastAsia="仿宋_GB2312"/>
          <w:bCs/>
          <w:sz w:val="32"/>
          <w:szCs w:val="32"/>
        </w:rPr>
        <w:t>其次</w:t>
      </w:r>
      <w:r>
        <w:rPr>
          <w:rFonts w:eastAsia="仿宋_GB2312"/>
          <w:bCs/>
          <w:sz w:val="32"/>
          <w:szCs w:val="32"/>
        </w:rPr>
        <w:t>确定评价范围，设计资料清单；最后制定评价实施方案并进行论证。</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组织实施。</w:t>
      </w:r>
      <w:r>
        <w:rPr>
          <w:rFonts w:eastAsia="仿宋_GB2312"/>
          <w:bCs/>
          <w:sz w:val="32"/>
          <w:szCs w:val="32"/>
        </w:rPr>
        <w:t>制定绩效评价工作方案，具体包括项目概况、评价思路、方法手段、组织实施、进度安排等。收集项目立项依据、相关会议纪要、实施方案、财政资金分配方案、支付管理情况等相关评价资料并进行梳理。</w:t>
      </w:r>
    </w:p>
    <w:p>
      <w:pPr>
        <w:numPr>
          <w:ilvl w:val="0"/>
          <w:numId w:val="2"/>
        </w:numPr>
        <w:spacing w:line="560" w:lineRule="exact"/>
        <w:ind w:firstLine="643" w:firstLineChars="200"/>
        <w:rPr>
          <w:sz w:val="32"/>
          <w:szCs w:val="32"/>
        </w:rPr>
      </w:pPr>
      <w:r>
        <w:rPr>
          <w:rFonts w:eastAsia="仿宋_GB2312"/>
          <w:b/>
          <w:bCs/>
          <w:sz w:val="32"/>
          <w:szCs w:val="32"/>
        </w:rPr>
        <w:t>分析评价。</w:t>
      </w:r>
      <w:r>
        <w:rPr>
          <w:rFonts w:eastAsia="仿宋_GB2312"/>
          <w:bCs/>
          <w:sz w:val="32"/>
          <w:szCs w:val="32"/>
        </w:rPr>
        <w:t>根据收集梳理的资料围绕项目立项、资金落实、业务管理、财务管理、项目产出、项目效益等内容，对照已确定的绩效评价指标进行详细全面的分析评价，逐项打分并形成绩效评价最终结果。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三、综合评价情况及评价结论（附相关评分表）</w:t>
      </w:r>
    </w:p>
    <w:p>
      <w:pPr>
        <w:pStyle w:val="17"/>
        <w:widowControl w:val="0"/>
        <w:spacing w:before="0" w:after="0" w:line="560" w:lineRule="exact"/>
        <w:ind w:firstLine="640" w:firstLineChars="200"/>
        <w:jc w:val="both"/>
        <w:outlineLvl w:val="9"/>
        <w:rPr>
          <w:rFonts w:ascii="Times New Roman" w:hAnsi="Times New Roman" w:eastAsia="仿宋_GB2312"/>
          <w:sz w:val="30"/>
          <w:szCs w:val="30"/>
        </w:rPr>
      </w:pPr>
      <w:r>
        <w:rPr>
          <w:rFonts w:ascii="Times New Roman" w:hAnsi="Times New Roman" w:eastAsia="仿宋_GB2312"/>
          <w:b w:val="0"/>
          <w:bCs w:val="0"/>
        </w:rPr>
        <w:t>对</w:t>
      </w:r>
      <w:r>
        <w:rPr>
          <w:rStyle w:val="21"/>
          <w:rFonts w:ascii="Times New Roman" w:hAnsi="Times New Roman" w:eastAsia="仿宋_GB2312"/>
          <w:b w:val="0"/>
          <w:bCs w:val="0"/>
          <w:spacing w:val="-4"/>
        </w:rPr>
        <w:t>办公及被装经费</w:t>
      </w:r>
      <w:r>
        <w:rPr>
          <w:rFonts w:ascii="Times New Roman" w:hAnsi="Times New Roman" w:eastAsia="仿宋_GB2312"/>
          <w:b w:val="0"/>
          <w:bCs w:val="0"/>
        </w:rPr>
        <w:t>项目进行客观评价，最终评分结果：总得分为</w:t>
      </w:r>
      <w:r>
        <w:rPr>
          <w:rFonts w:hint="default" w:ascii="Times New Roman" w:hAnsi="Times New Roman" w:eastAsia="仿宋_GB2312"/>
          <w:b w:val="0"/>
          <w:bCs w:val="0"/>
        </w:rPr>
        <w:t>99.7</w:t>
      </w:r>
      <w:r>
        <w:rPr>
          <w:rFonts w:ascii="Times New Roman" w:hAnsi="Times New Roman" w:eastAsia="仿宋_GB2312"/>
          <w:b w:val="0"/>
          <w:bCs w:val="0"/>
        </w:rPr>
        <w:t>分，属于“优”。其中，项目决策类指标权重为20分，得分为 20分，得分率为 100%。项目过程类指标权重为20分，得分为</w:t>
      </w:r>
      <w:r>
        <w:rPr>
          <w:rFonts w:hint="default" w:ascii="Times New Roman" w:hAnsi="Times New Roman" w:eastAsia="仿宋_GB2312"/>
          <w:b w:val="0"/>
          <w:bCs w:val="0"/>
        </w:rPr>
        <w:t>19.7</w:t>
      </w:r>
      <w:r>
        <w:rPr>
          <w:rFonts w:ascii="Times New Roman" w:hAnsi="Times New Roman" w:eastAsia="仿宋_GB2312"/>
          <w:b w:val="0"/>
          <w:bCs w:val="0"/>
        </w:rPr>
        <w:t>分，得分率为</w:t>
      </w:r>
      <w:r>
        <w:rPr>
          <w:rFonts w:hint="default" w:ascii="Times New Roman" w:hAnsi="Times New Roman" w:eastAsia="仿宋_GB2312"/>
          <w:b w:val="0"/>
          <w:bCs w:val="0"/>
        </w:rPr>
        <w:t>98.5</w:t>
      </w:r>
      <w:r>
        <w:rPr>
          <w:rFonts w:ascii="Times New Roman" w:hAnsi="Times New Roman" w:eastAsia="仿宋_GB2312"/>
          <w:b w:val="0"/>
          <w:bCs w:val="0"/>
        </w:rPr>
        <w:t>%。项目产出类指标权重为40分，得分为40分，得分率为100%。项目效益类指标权重为20分，得分为20分，得分率为100%。</w:t>
      </w: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jc w:val="both"/>
        <w:rPr>
          <w:rFonts w:ascii="Times New Roman" w:hAnsi="Times New Roman" w:eastAsia="仿宋_GB2312"/>
          <w:sz w:val="30"/>
          <w:szCs w:val="30"/>
        </w:rPr>
      </w:pPr>
    </w:p>
    <w:p/>
    <w:p/>
    <w:p>
      <w:pPr>
        <w:pStyle w:val="17"/>
        <w:spacing w:before="0" w:after="0" w:line="560" w:lineRule="exact"/>
        <w:rPr>
          <w:rFonts w:ascii="Times New Roman" w:hAnsi="Times New Roman" w:eastAsia="仿宋_GB2312"/>
          <w:sz w:val="30"/>
          <w:szCs w:val="30"/>
        </w:rPr>
      </w:pPr>
      <w:r>
        <w:rPr>
          <w:rFonts w:ascii="Times New Roman" w:hAnsi="Times New Roman" w:eastAsia="仿宋_GB2312"/>
          <w:sz w:val="30"/>
          <w:szCs w:val="30"/>
        </w:rPr>
        <w:t>表1综合评分表</w:t>
      </w:r>
    </w:p>
    <w:p>
      <w:pPr>
        <w:spacing w:line="560" w:lineRule="exact"/>
      </w:pPr>
    </w:p>
    <w:tbl>
      <w:tblPr>
        <w:tblStyle w:val="19"/>
        <w:tblpPr w:leftFromText="180" w:rightFromText="180" w:vertAnchor="text" w:horzAnchor="page" w:tblpX="1016" w:tblpY="-67"/>
        <w:tblOverlap w:val="never"/>
        <w:tblW w:w="99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4"/>
        <w:gridCol w:w="990"/>
        <w:gridCol w:w="1283"/>
        <w:gridCol w:w="1707"/>
        <w:gridCol w:w="727"/>
        <w:gridCol w:w="1044"/>
        <w:gridCol w:w="924"/>
        <w:gridCol w:w="1215"/>
        <w:gridCol w:w="9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tblHeader/>
        </w:trPr>
        <w:tc>
          <w:tcPr>
            <w:tcW w:w="1104" w:type="dxa"/>
            <w:shd w:val="clear" w:color="auto" w:fill="BFBFBF"/>
            <w:vAlign w:val="center"/>
          </w:tcPr>
          <w:p>
            <w:pPr>
              <w:widowControl/>
              <w:spacing w:line="0" w:lineRule="atLeast"/>
              <w:rPr>
                <w:b/>
                <w:bCs/>
                <w:color w:val="000000"/>
                <w:kern w:val="0"/>
                <w:sz w:val="22"/>
                <w:szCs w:val="22"/>
              </w:rPr>
            </w:pPr>
            <w:r>
              <w:rPr>
                <w:b/>
                <w:bCs/>
                <w:color w:val="000000"/>
                <w:kern w:val="0"/>
                <w:sz w:val="22"/>
                <w:szCs w:val="22"/>
              </w:rPr>
              <w:t>一级指标</w:t>
            </w:r>
          </w:p>
        </w:tc>
        <w:tc>
          <w:tcPr>
            <w:tcW w:w="990"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分值</w:t>
            </w:r>
          </w:p>
        </w:tc>
        <w:tc>
          <w:tcPr>
            <w:tcW w:w="1283"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170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72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04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目标值</w:t>
            </w:r>
          </w:p>
        </w:tc>
        <w:tc>
          <w:tcPr>
            <w:tcW w:w="92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业绩值</w:t>
            </w:r>
          </w:p>
        </w:tc>
        <w:tc>
          <w:tcPr>
            <w:tcW w:w="1215"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得分率</w:t>
            </w:r>
          </w:p>
        </w:tc>
        <w:tc>
          <w:tcPr>
            <w:tcW w:w="960"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p>
            <w:pPr>
              <w:widowControl/>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p>
            <w:pPr>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continue"/>
            <w:shd w:val="clear" w:color="auto" w:fill="FFFFFF"/>
            <w:vAlign w:val="center"/>
          </w:tcPr>
          <w:p>
            <w:pPr>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auto" w:fill="FFFFFF"/>
            <w:vAlign w:val="center"/>
          </w:tcPr>
          <w:p>
            <w:pPr>
              <w:widowControl/>
              <w:spacing w:line="0" w:lineRule="atLeast"/>
              <w:jc w:val="center"/>
              <w:rPr>
                <w:color w:val="000000"/>
                <w:kern w:val="0"/>
                <w:sz w:val="22"/>
                <w:szCs w:val="22"/>
              </w:rPr>
            </w:pPr>
            <w:r>
              <w:rPr>
                <w:rFonts w:hint="default"/>
                <w:color w:val="000000"/>
                <w:kern w:val="0"/>
                <w:sz w:val="22"/>
                <w:szCs w:val="22"/>
              </w:rPr>
              <w:t>92.61</w:t>
            </w:r>
            <w:r>
              <w:rPr>
                <w:color w:val="000000"/>
                <w:kern w:val="0"/>
                <w:sz w:val="22"/>
                <w:szCs w:val="22"/>
              </w:rPr>
              <w:t>%</w:t>
            </w:r>
          </w:p>
        </w:tc>
        <w:tc>
          <w:tcPr>
            <w:tcW w:w="1215" w:type="dxa"/>
            <w:shd w:val="clear" w:color="auto" w:fill="FFFFFF"/>
            <w:vAlign w:val="center"/>
          </w:tcPr>
          <w:p>
            <w:pPr>
              <w:widowControl/>
              <w:spacing w:line="0" w:lineRule="atLeast"/>
              <w:jc w:val="center"/>
              <w:rPr>
                <w:color w:val="000000"/>
                <w:kern w:val="0"/>
                <w:sz w:val="22"/>
                <w:szCs w:val="22"/>
              </w:rPr>
            </w:pPr>
            <w:r>
              <w:rPr>
                <w:rFonts w:hint="default"/>
                <w:color w:val="000000"/>
                <w:kern w:val="0"/>
                <w:sz w:val="22"/>
                <w:szCs w:val="22"/>
              </w:rPr>
              <w:t>92.61</w:t>
            </w:r>
            <w:r>
              <w:rPr>
                <w:color w:val="000000"/>
                <w:kern w:val="0"/>
                <w:sz w:val="22"/>
                <w:szCs w:val="22"/>
              </w:rPr>
              <w:t>%</w:t>
            </w:r>
          </w:p>
        </w:tc>
        <w:tc>
          <w:tcPr>
            <w:tcW w:w="960" w:type="dxa"/>
            <w:shd w:val="clear" w:color="auto" w:fill="FFFFFF"/>
            <w:vAlign w:val="center"/>
          </w:tcPr>
          <w:p>
            <w:pPr>
              <w:widowControl/>
              <w:spacing w:line="0" w:lineRule="atLeast"/>
              <w:jc w:val="center"/>
              <w:rPr>
                <w:rFonts w:hint="default"/>
                <w:color w:val="000000"/>
                <w:kern w:val="0"/>
                <w:sz w:val="22"/>
                <w:szCs w:val="22"/>
              </w:rPr>
            </w:pPr>
            <w:r>
              <w:rPr>
                <w:rFonts w:hint="default"/>
                <w:color w:val="000000"/>
                <w:kern w:val="0"/>
                <w:sz w:val="22"/>
                <w:szCs w:val="22"/>
              </w:rPr>
              <w:t>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40分</w:t>
            </w: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990"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p>
            <w:pPr>
              <w:widowControl/>
              <w:spacing w:line="0" w:lineRule="atLeast"/>
              <w:jc w:val="center"/>
              <w:rPr>
                <w:color w:val="000000"/>
                <w:kern w:val="0"/>
                <w:sz w:val="22"/>
                <w:szCs w:val="22"/>
              </w:rPr>
            </w:pPr>
            <w:r>
              <w:rPr>
                <w:color w:val="000000"/>
                <w:kern w:val="0"/>
                <w:sz w:val="22"/>
                <w:szCs w:val="22"/>
              </w:rPr>
              <w:t>（社会效益、经济效益、可持续效益）</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c>
          <w:tcPr>
            <w:tcW w:w="1044" w:type="dxa"/>
            <w:shd w:val="clear" w:color="000000" w:fill="FFFFFF"/>
            <w:vAlign w:val="center"/>
          </w:tcPr>
          <w:p>
            <w:pPr>
              <w:widowControl/>
              <w:spacing w:line="0" w:lineRule="atLeast"/>
              <w:jc w:val="center"/>
              <w:rPr>
                <w:rFonts w:hint="default"/>
                <w:color w:val="000000"/>
                <w:kern w:val="0"/>
                <w:sz w:val="22"/>
                <w:szCs w:val="22"/>
              </w:rPr>
            </w:pPr>
            <w:r>
              <w:rPr>
                <w:rFonts w:hint="default"/>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rFonts w:hint="default"/>
                <w:color w:val="000000"/>
                <w:kern w:val="0"/>
                <w:sz w:val="22"/>
                <w:szCs w:val="22"/>
              </w:rPr>
              <w:t>100</w:t>
            </w:r>
            <w:r>
              <w:rPr>
                <w:color w:val="000000"/>
                <w:kern w:val="0"/>
                <w:sz w:val="22"/>
                <w:szCs w:val="22"/>
              </w:rPr>
              <w:t>%</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r>
    </w:tbl>
    <w:p>
      <w:pPr>
        <w:spacing w:line="560" w:lineRule="exact"/>
        <w:ind w:firstLine="640"/>
        <w:rPr>
          <w:rStyle w:val="21"/>
          <w:rFonts w:eastAsia="黑体"/>
          <w:b w:val="0"/>
        </w:rPr>
      </w:pPr>
      <w:r>
        <w:rPr>
          <w:rStyle w:val="21"/>
          <w:rFonts w:hAnsi="黑体" w:eastAsia="黑体"/>
          <w:b w:val="0"/>
          <w:spacing w:val="-4"/>
          <w:sz w:val="32"/>
          <w:szCs w:val="32"/>
        </w:rPr>
        <w:t>四、绩效评价指标分析</w:t>
      </w:r>
      <w:r>
        <w:rPr>
          <w:rStyle w:val="21"/>
          <w:rFonts w:eastAsia="黑体"/>
          <w:b w:val="0"/>
          <w:spacing w:val="-4"/>
          <w:sz w:val="32"/>
          <w:szCs w:val="32"/>
        </w:rPr>
        <w:t xml:space="preserve"> </w:t>
      </w:r>
    </w:p>
    <w:p>
      <w:pPr>
        <w:spacing w:line="560" w:lineRule="exact"/>
        <w:ind w:firstLine="640" w:firstLineChars="200"/>
        <w:rPr>
          <w:rFonts w:eastAsia="楷体"/>
          <w:sz w:val="32"/>
          <w:szCs w:val="32"/>
        </w:rPr>
      </w:pPr>
      <w:r>
        <w:rPr>
          <w:rFonts w:hAnsi="楷体" w:eastAsia="楷体"/>
          <w:sz w:val="32"/>
          <w:szCs w:val="32"/>
        </w:rPr>
        <w:t>（一）项目决策情况</w:t>
      </w:r>
    </w:p>
    <w:p>
      <w:pPr>
        <w:spacing w:line="560" w:lineRule="exact"/>
        <w:ind w:firstLine="640" w:firstLineChars="200"/>
        <w:outlineLvl w:val="0"/>
        <w:rPr>
          <w:rFonts w:eastAsia="仿宋_GB2312"/>
          <w:lang w:eastAsia="zh-Hans"/>
        </w:rPr>
      </w:pPr>
      <w:r>
        <w:rPr>
          <w:rFonts w:hint="eastAsia" w:ascii="仿宋_GB2312" w:hAnsi="仿宋_GB2312" w:eastAsia="仿宋_GB2312" w:cs="仿宋_GB2312"/>
          <w:sz w:val="32"/>
          <w:szCs w:val="32"/>
        </w:rPr>
        <w:t>项目立项符合法律法规、相关政策</w:t>
      </w:r>
      <w:r>
        <w:rPr>
          <w:rFonts w:hint="eastAsia" w:ascii="仿宋_GB2312" w:hAnsi="仿宋_GB2312" w:eastAsia="仿宋_GB2312" w:cs="仿宋_GB2312"/>
          <w:sz w:val="32"/>
          <w:szCs w:val="32"/>
          <w:lang w:eastAsia="zh-Hans"/>
        </w:rPr>
        <w:t>、行业发展规划</w:t>
      </w:r>
      <w:r>
        <w:rPr>
          <w:rFonts w:hint="eastAsia" w:ascii="仿宋_GB2312" w:hAnsi="仿宋_GB2312" w:eastAsia="仿宋_GB2312" w:cs="仿宋_GB2312"/>
          <w:sz w:val="32"/>
          <w:szCs w:val="32"/>
        </w:rPr>
        <w:t>及部门职责，能反映和考核项目立项依据情况，</w:t>
      </w:r>
      <w:r>
        <w:rPr>
          <w:rFonts w:hint="eastAsia" w:ascii="仿宋_GB2312" w:hAnsi="仿宋_GB2312" w:eastAsia="仿宋_GB2312" w:cs="仿宋_GB2312"/>
          <w:sz w:val="32"/>
          <w:szCs w:val="32"/>
          <w:lang w:eastAsia="zh-Hans"/>
        </w:rPr>
        <w:t>属于公共财产支持范围，严格遵守中央、地方事权支出责任划分范围原则；</w:t>
      </w: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严格按照审批流程准备符合要求的文件、材料；事前已经过必要的绩效评</w:t>
      </w:r>
      <w:r>
        <w:rPr>
          <w:rFonts w:hint="eastAsia" w:ascii="仿宋_GB2312" w:hAnsi="仿宋_GB2312" w:eastAsia="仿宋_GB2312" w:cs="仿宋_GB2312"/>
          <w:color w:val="auto"/>
          <w:sz w:val="32"/>
          <w:szCs w:val="32"/>
          <w:lang w:eastAsia="zh-Hans"/>
        </w:rPr>
        <w:t>估、集体决策</w:t>
      </w:r>
      <w:r>
        <w:rPr>
          <w:rFonts w:hint="eastAsia"/>
          <w:lang w:eastAsia="zh-Hans"/>
        </w:rPr>
        <w:t>，</w:t>
      </w:r>
      <w:r>
        <w:rPr>
          <w:rFonts w:hint="eastAsia" w:ascii="仿宋_GB2312" w:hAnsi="仿宋_GB2312" w:eastAsia="仿宋_GB2312" w:cs="仿宋_GB2312"/>
          <w:sz w:val="32"/>
          <w:szCs w:val="32"/>
          <w:lang w:eastAsia="zh-Hans"/>
        </w:rPr>
        <w:t>以上</w:t>
      </w:r>
      <w:r>
        <w:rPr>
          <w:rFonts w:hint="eastAsia" w:ascii="仿宋_GB2312" w:hAnsi="仿宋_GB2312" w:eastAsia="仿宋_GB2312" w:cs="仿宋_GB2312"/>
          <w:sz w:val="32"/>
          <w:szCs w:val="32"/>
        </w:rPr>
        <w:t>能反映和考核项目立项</w:t>
      </w:r>
      <w:r>
        <w:rPr>
          <w:rFonts w:hint="eastAsia" w:ascii="仿宋_GB2312" w:hAnsi="仿宋_GB2312" w:eastAsia="仿宋_GB2312" w:cs="仿宋_GB2312"/>
          <w:sz w:val="32"/>
          <w:szCs w:val="32"/>
          <w:lang w:eastAsia="zh-Hans"/>
        </w:rPr>
        <w:t>程序</w:t>
      </w:r>
      <w:r>
        <w:rPr>
          <w:rFonts w:hint="eastAsia" w:ascii="仿宋_GB2312" w:hAnsi="仿宋_GB2312" w:eastAsia="仿宋_GB2312" w:cs="仿宋_GB2312"/>
          <w:sz w:val="32"/>
          <w:szCs w:val="32"/>
        </w:rPr>
        <w:t>的规范情况</w:t>
      </w:r>
      <w:r>
        <w:rPr>
          <w:rFonts w:hint="eastAsia" w:ascii="仿宋_GB2312" w:hAnsi="仿宋_GB2312" w:eastAsia="仿宋_GB2312" w:cs="仿宋_GB2312"/>
          <w:sz w:val="32"/>
          <w:szCs w:val="32"/>
          <w:lang w:eastAsia="zh-Hans"/>
        </w:rPr>
        <w:t>；年初结合实际工作内容</w:t>
      </w:r>
      <w:r>
        <w:rPr>
          <w:rFonts w:hint="eastAsia" w:ascii="仿宋_GB2312" w:hAnsi="仿宋_GB2312" w:eastAsia="仿宋_GB2312" w:cs="仿宋_GB2312"/>
          <w:sz w:val="32"/>
          <w:szCs w:val="32"/>
        </w:rPr>
        <w:t>设定绩效目标</w:t>
      </w:r>
      <w:r>
        <w:rPr>
          <w:rFonts w:hint="eastAsia" w:ascii="仿宋_GB2312" w:hAnsi="仿宋_GB2312" w:eastAsia="仿宋_GB2312" w:cs="仿宋_GB2312"/>
          <w:sz w:val="32"/>
          <w:szCs w:val="32"/>
          <w:lang w:eastAsia="zh-Hans"/>
        </w:rPr>
        <w:t>，绩效目标</w:t>
      </w:r>
      <w:r>
        <w:rPr>
          <w:rFonts w:hint="eastAsia" w:ascii="仿宋_GB2312" w:hAnsi="仿宋_GB2312" w:eastAsia="仿宋_GB2312" w:cs="仿宋_GB2312"/>
          <w:sz w:val="32"/>
          <w:szCs w:val="32"/>
        </w:rPr>
        <w:t>依据充分，符合客观实际，能反映和考核项目绩效目标与项目实施的相符情况，依据绩效目标设定的绩效指标清晰、细化、可衡量，能反映和考核项目绩效目标的明细化情况。</w:t>
      </w:r>
      <w:r>
        <w:rPr>
          <w:rFonts w:hint="eastAsia" w:ascii="仿宋_GB2312" w:hAnsi="仿宋_GB2312" w:eastAsia="仿宋_GB2312" w:cs="仿宋_GB2312"/>
          <w:sz w:val="32"/>
          <w:szCs w:val="32"/>
          <w:lang w:eastAsia="zh-Hans"/>
        </w:rPr>
        <w:t>资金分配额度合理，与项目单位项目情况相适应。</w:t>
      </w:r>
    </w:p>
    <w:p>
      <w:pPr>
        <w:spacing w:line="560" w:lineRule="exact"/>
        <w:ind w:firstLine="640" w:firstLineChars="200"/>
        <w:rPr>
          <w:rFonts w:eastAsia="楷体"/>
          <w:sz w:val="32"/>
          <w:szCs w:val="32"/>
        </w:rPr>
      </w:pPr>
      <w:r>
        <w:rPr>
          <w:rFonts w:hAnsi="楷体" w:eastAsia="楷体"/>
          <w:sz w:val="32"/>
          <w:szCs w:val="32"/>
        </w:rPr>
        <w:t>（二）项目过程情况</w:t>
      </w:r>
    </w:p>
    <w:p>
      <w:pPr>
        <w:spacing w:line="560" w:lineRule="exact"/>
        <w:ind w:firstLine="624" w:firstLineChars="200"/>
        <w:rPr>
          <w:rFonts w:eastAsia="仿宋_GB2312"/>
          <w:sz w:val="32"/>
          <w:szCs w:val="32"/>
        </w:rPr>
      </w:pPr>
      <w:r>
        <w:rPr>
          <w:rStyle w:val="21"/>
          <w:rFonts w:eastAsia="仿宋_GB2312"/>
          <w:b w:val="0"/>
          <w:spacing w:val="-4"/>
          <w:sz w:val="32"/>
          <w:szCs w:val="32"/>
        </w:rPr>
        <w:t>办公及被装经费</w:t>
      </w:r>
      <w:r>
        <w:rPr>
          <w:rFonts w:eastAsia="仿宋_GB2312"/>
          <w:sz w:val="32"/>
          <w:szCs w:val="32"/>
        </w:rPr>
        <w:t>项目预算资金</w:t>
      </w:r>
      <w:r>
        <w:rPr>
          <w:rFonts w:hint="default" w:eastAsia="仿宋_GB2312"/>
          <w:sz w:val="32"/>
          <w:szCs w:val="32"/>
        </w:rPr>
        <w:t>175</w:t>
      </w:r>
      <w:r>
        <w:rPr>
          <w:rFonts w:eastAsia="仿宋_GB2312"/>
          <w:sz w:val="32"/>
          <w:szCs w:val="32"/>
        </w:rPr>
        <w:t>万元，实际到位资金</w:t>
      </w:r>
      <w:r>
        <w:rPr>
          <w:rFonts w:hint="default" w:eastAsia="仿宋_GB2312"/>
          <w:sz w:val="32"/>
          <w:szCs w:val="32"/>
        </w:rPr>
        <w:t>175</w:t>
      </w:r>
      <w:r>
        <w:rPr>
          <w:rFonts w:eastAsia="仿宋_GB2312"/>
          <w:sz w:val="32"/>
          <w:szCs w:val="32"/>
        </w:rPr>
        <w:t>万元，实际支出资金162.07万元，资金到位率100%，预算执行率</w:t>
      </w:r>
      <w:r>
        <w:rPr>
          <w:rFonts w:hint="default" w:eastAsia="仿宋_GB2312"/>
          <w:sz w:val="32"/>
          <w:szCs w:val="32"/>
        </w:rPr>
        <w:t>92.61</w:t>
      </w:r>
      <w:r>
        <w:rPr>
          <w:rFonts w:eastAsia="仿宋_GB2312"/>
          <w:sz w:val="32"/>
          <w:szCs w:val="32"/>
        </w:rPr>
        <w:t>%。</w:t>
      </w:r>
    </w:p>
    <w:p>
      <w:pPr>
        <w:spacing w:line="560" w:lineRule="exact"/>
        <w:ind w:firstLine="640" w:firstLineChars="200"/>
        <w:outlineLvl w:val="0"/>
      </w:pPr>
      <w:r>
        <w:rPr>
          <w:rFonts w:hint="eastAsia" w:ascii="仿宋_GB2312" w:hAnsi="仿宋_GB2312" w:eastAsia="仿宋_GB2312" w:cs="仿宋_GB2312"/>
          <w:sz w:val="32"/>
          <w:szCs w:val="32"/>
        </w:rPr>
        <w:t>项目严格按照预期绩效目标执行预算资金。项目资金使用符合相关的财务管理制度规定，能够反映和考核项目资金的规范运行情况；项目实施单位的财务和业务管理制度健全，能够反映和考核财务和业务管理制度对项目顺利实施的保障情况</w:t>
      </w:r>
      <w:r>
        <w:rPr>
          <w:rFonts w:hint="eastAsia" w:ascii="仿宋_GB2312" w:hAnsi="仿宋_GB2312" w:eastAsia="仿宋_GB2312" w:cs="仿宋_GB2312"/>
          <w:sz w:val="32"/>
          <w:szCs w:val="32"/>
          <w:lang w:eastAsia="zh-Hans"/>
        </w:rPr>
        <w:t>；资金拨付依照完整的审批程序和手续执行；本项目实施过程中严格遵守相关法律法规和相关管理规定，杜绝截留、挤占、挪用、序列支出等情况发生，杜绝截留、挤占、挪用、序列支出等情况发生。</w:t>
      </w:r>
    </w:p>
    <w:p>
      <w:pPr>
        <w:spacing w:line="560" w:lineRule="exact"/>
        <w:ind w:firstLine="640" w:firstLineChars="200"/>
        <w:outlineLvl w:val="0"/>
        <w:rPr>
          <w:rFonts w:eastAsia="楷体"/>
          <w:sz w:val="32"/>
          <w:szCs w:val="32"/>
        </w:rPr>
      </w:pPr>
      <w:r>
        <w:rPr>
          <w:rFonts w:hAnsi="楷体" w:eastAsia="楷体"/>
          <w:sz w:val="32"/>
          <w:szCs w:val="32"/>
        </w:rPr>
        <w:t>（三）项目产出</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1、数量指标方面：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指标1：在职民警人数，指标值：173人，实际完成值：173人，指标完成率100%。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指标2：</w:t>
      </w:r>
      <w:r>
        <w:rPr>
          <w:rStyle w:val="21"/>
          <w:rFonts w:hint="eastAsia" w:eastAsia="仿宋_GB2312"/>
          <w:b w:val="0"/>
          <w:spacing w:val="-4"/>
          <w:sz w:val="32"/>
          <w:szCs w:val="32"/>
        </w:rPr>
        <w:t>全年上缴水费、电话费次数</w:t>
      </w:r>
      <w:r>
        <w:rPr>
          <w:rStyle w:val="21"/>
          <w:rFonts w:eastAsia="仿宋_GB2312"/>
          <w:b w:val="0"/>
          <w:spacing w:val="-4"/>
          <w:sz w:val="32"/>
          <w:szCs w:val="32"/>
        </w:rPr>
        <w:t>，指标值：</w:t>
      </w:r>
      <w:r>
        <w:rPr>
          <w:rStyle w:val="21"/>
          <w:rFonts w:hint="eastAsia" w:eastAsia="仿宋_GB2312"/>
          <w:b w:val="0"/>
          <w:spacing w:val="-4"/>
          <w:sz w:val="32"/>
          <w:szCs w:val="32"/>
        </w:rPr>
        <w:t>12次</w:t>
      </w:r>
      <w:r>
        <w:rPr>
          <w:rStyle w:val="21"/>
          <w:rFonts w:eastAsia="仿宋_GB2312"/>
          <w:b w:val="0"/>
          <w:spacing w:val="-4"/>
          <w:sz w:val="32"/>
          <w:szCs w:val="32"/>
        </w:rPr>
        <w:t>，实际完成值：</w:t>
      </w:r>
      <w:r>
        <w:rPr>
          <w:rStyle w:val="21"/>
          <w:rFonts w:hint="eastAsia" w:eastAsia="仿宋_GB2312"/>
          <w:b w:val="0"/>
          <w:spacing w:val="-4"/>
          <w:sz w:val="32"/>
          <w:szCs w:val="32"/>
        </w:rPr>
        <w:t>12次</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3</w:t>
      </w:r>
      <w:r>
        <w:rPr>
          <w:rStyle w:val="21"/>
          <w:rFonts w:eastAsia="仿宋_GB2312"/>
          <w:b w:val="0"/>
          <w:spacing w:val="-4"/>
          <w:sz w:val="32"/>
          <w:szCs w:val="32"/>
        </w:rPr>
        <w:t>：</w:t>
      </w:r>
      <w:r>
        <w:rPr>
          <w:rStyle w:val="21"/>
          <w:rFonts w:hint="eastAsia" w:eastAsia="仿宋_GB2312"/>
          <w:b w:val="0"/>
          <w:spacing w:val="-4"/>
          <w:sz w:val="32"/>
          <w:szCs w:val="32"/>
        </w:rPr>
        <w:t>购买被装批次</w:t>
      </w:r>
      <w:r>
        <w:rPr>
          <w:rStyle w:val="21"/>
          <w:rFonts w:eastAsia="仿宋_GB2312"/>
          <w:b w:val="0"/>
          <w:spacing w:val="-4"/>
          <w:sz w:val="32"/>
          <w:szCs w:val="32"/>
        </w:rPr>
        <w:t>，指标值：</w:t>
      </w:r>
      <w:r>
        <w:rPr>
          <w:rStyle w:val="21"/>
          <w:rFonts w:hint="eastAsia" w:eastAsia="仿宋_GB2312"/>
          <w:b w:val="0"/>
          <w:spacing w:val="-4"/>
          <w:sz w:val="32"/>
          <w:szCs w:val="32"/>
        </w:rPr>
        <w:t>1次</w:t>
      </w:r>
      <w:r>
        <w:rPr>
          <w:rStyle w:val="21"/>
          <w:rFonts w:eastAsia="仿宋_GB2312"/>
          <w:b w:val="0"/>
          <w:spacing w:val="-4"/>
          <w:sz w:val="32"/>
          <w:szCs w:val="32"/>
        </w:rPr>
        <w:t>，实际完成值：</w:t>
      </w:r>
      <w:r>
        <w:rPr>
          <w:rStyle w:val="21"/>
          <w:rFonts w:hint="eastAsia" w:eastAsia="仿宋_GB2312"/>
          <w:b w:val="0"/>
          <w:spacing w:val="-4"/>
          <w:sz w:val="32"/>
          <w:szCs w:val="32"/>
        </w:rPr>
        <w:t>1次</w:t>
      </w:r>
      <w:r>
        <w:rPr>
          <w:rStyle w:val="21"/>
          <w:rFonts w:eastAsia="仿宋_GB2312"/>
          <w:b w:val="0"/>
          <w:spacing w:val="-4"/>
          <w:sz w:val="32"/>
          <w:szCs w:val="32"/>
        </w:rPr>
        <w:t>，指标完成率100%。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2、质量指标方面：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被装项目资金使用率</w:t>
      </w:r>
      <w:r>
        <w:rPr>
          <w:rStyle w:val="21"/>
          <w:rFonts w:eastAsia="仿宋_GB2312"/>
          <w:b w:val="0"/>
          <w:spacing w:val="-4"/>
          <w:sz w:val="32"/>
          <w:szCs w:val="32"/>
        </w:rPr>
        <w:t>，指标值：100%次，实际完成值：100%次，指标完成率100%。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2</w:t>
      </w:r>
      <w:r>
        <w:rPr>
          <w:rStyle w:val="21"/>
          <w:rFonts w:eastAsia="仿宋_GB2312"/>
          <w:b w:val="0"/>
          <w:spacing w:val="-4"/>
          <w:sz w:val="32"/>
          <w:szCs w:val="32"/>
        </w:rPr>
        <w:t>：</w:t>
      </w:r>
      <w:r>
        <w:rPr>
          <w:rStyle w:val="21"/>
          <w:rFonts w:hint="eastAsia" w:eastAsia="仿宋_GB2312"/>
          <w:b w:val="0"/>
          <w:spacing w:val="-4"/>
          <w:sz w:val="32"/>
          <w:szCs w:val="32"/>
        </w:rPr>
        <w:t>办公经费资金使用率</w:t>
      </w:r>
      <w:r>
        <w:rPr>
          <w:rStyle w:val="21"/>
          <w:rFonts w:eastAsia="仿宋_GB2312"/>
          <w:b w:val="0"/>
          <w:spacing w:val="-4"/>
          <w:sz w:val="32"/>
          <w:szCs w:val="32"/>
        </w:rPr>
        <w:t>，指标值：100%次，实际完成值：100%次，指标完成率100%。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3、时效指标方面：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干警服装发放及时率</w:t>
      </w:r>
      <w:r>
        <w:rPr>
          <w:rStyle w:val="21"/>
          <w:rFonts w:eastAsia="仿宋_GB2312"/>
          <w:b w:val="0"/>
          <w:spacing w:val="-4"/>
          <w:sz w:val="32"/>
          <w:szCs w:val="32"/>
        </w:rPr>
        <w:t>，指标值：100%，实际完成值：100%，指标完成率100%。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2</w:t>
      </w:r>
      <w:r>
        <w:rPr>
          <w:rStyle w:val="21"/>
          <w:rFonts w:eastAsia="仿宋_GB2312"/>
          <w:b w:val="0"/>
          <w:spacing w:val="-4"/>
          <w:sz w:val="32"/>
          <w:szCs w:val="32"/>
        </w:rPr>
        <w:t>：</w:t>
      </w:r>
      <w:r>
        <w:rPr>
          <w:rStyle w:val="21"/>
          <w:rFonts w:hint="eastAsia" w:eastAsia="仿宋_GB2312"/>
          <w:b w:val="0"/>
          <w:spacing w:val="-4"/>
          <w:sz w:val="32"/>
          <w:szCs w:val="32"/>
        </w:rPr>
        <w:t>办公经费支付及时率</w:t>
      </w:r>
      <w:r>
        <w:rPr>
          <w:rStyle w:val="21"/>
          <w:rFonts w:eastAsia="仿宋_GB2312"/>
          <w:b w:val="0"/>
          <w:spacing w:val="-4"/>
          <w:sz w:val="32"/>
          <w:szCs w:val="32"/>
        </w:rPr>
        <w:t>，指标值：100%，实际完成值：100%，指标完成率100%。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4、成本指标方面：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严格执行国家电费标准</w:t>
      </w:r>
      <w:r>
        <w:rPr>
          <w:rStyle w:val="21"/>
          <w:rFonts w:eastAsia="仿宋_GB2312"/>
          <w:b w:val="0"/>
          <w:spacing w:val="-4"/>
          <w:sz w:val="32"/>
          <w:szCs w:val="32"/>
        </w:rPr>
        <w:t>，指标值：</w:t>
      </w:r>
      <w:r>
        <w:rPr>
          <w:rStyle w:val="21"/>
          <w:rFonts w:hint="eastAsia" w:eastAsia="仿宋_GB2312"/>
          <w:b w:val="0"/>
          <w:spacing w:val="-4"/>
          <w:sz w:val="32"/>
          <w:szCs w:val="32"/>
        </w:rPr>
        <w:t>&lt;=0.42元</w:t>
      </w:r>
      <w:r>
        <w:rPr>
          <w:rStyle w:val="21"/>
          <w:rFonts w:eastAsia="仿宋_GB2312"/>
          <w:b w:val="0"/>
          <w:spacing w:val="-4"/>
          <w:sz w:val="32"/>
          <w:szCs w:val="32"/>
        </w:rPr>
        <w:t>，实际完成值：</w:t>
      </w:r>
      <w:r>
        <w:rPr>
          <w:rStyle w:val="21"/>
          <w:rFonts w:hint="eastAsia" w:eastAsia="仿宋_GB2312"/>
          <w:b w:val="0"/>
          <w:spacing w:val="-4"/>
          <w:sz w:val="32"/>
          <w:szCs w:val="32"/>
        </w:rPr>
        <w:t>&lt;=0.42元</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2</w:t>
      </w:r>
      <w:r>
        <w:rPr>
          <w:rStyle w:val="21"/>
          <w:rFonts w:eastAsia="仿宋_GB2312"/>
          <w:b w:val="0"/>
          <w:spacing w:val="-4"/>
          <w:sz w:val="32"/>
          <w:szCs w:val="32"/>
        </w:rPr>
        <w:t>：</w:t>
      </w:r>
      <w:r>
        <w:rPr>
          <w:rStyle w:val="21"/>
          <w:rFonts w:hint="eastAsia" w:eastAsia="仿宋_GB2312"/>
          <w:b w:val="0"/>
          <w:spacing w:val="-4"/>
          <w:sz w:val="32"/>
          <w:szCs w:val="32"/>
        </w:rPr>
        <w:t>办公经费</w:t>
      </w:r>
      <w:r>
        <w:rPr>
          <w:rStyle w:val="21"/>
          <w:rFonts w:eastAsia="仿宋_GB2312"/>
          <w:b w:val="0"/>
          <w:spacing w:val="-4"/>
          <w:sz w:val="32"/>
          <w:szCs w:val="32"/>
        </w:rPr>
        <w:t>，指标值：</w:t>
      </w:r>
      <w:r>
        <w:rPr>
          <w:rStyle w:val="21"/>
          <w:rFonts w:hint="eastAsia" w:eastAsia="仿宋_GB2312"/>
          <w:b w:val="0"/>
          <w:spacing w:val="-4"/>
          <w:sz w:val="32"/>
          <w:szCs w:val="32"/>
        </w:rPr>
        <w:t>125万元</w:t>
      </w:r>
      <w:r>
        <w:rPr>
          <w:rStyle w:val="21"/>
          <w:rFonts w:eastAsia="仿宋_GB2312"/>
          <w:b w:val="0"/>
          <w:spacing w:val="-4"/>
          <w:sz w:val="32"/>
          <w:szCs w:val="32"/>
        </w:rPr>
        <w:t>，实际完成值：</w:t>
      </w:r>
      <w:r>
        <w:rPr>
          <w:rStyle w:val="21"/>
          <w:rFonts w:hint="eastAsia" w:eastAsia="仿宋_GB2312"/>
          <w:b w:val="0"/>
          <w:spacing w:val="-4"/>
          <w:sz w:val="32"/>
          <w:szCs w:val="32"/>
        </w:rPr>
        <w:t>125万元</w:t>
      </w:r>
      <w:r>
        <w:rPr>
          <w:rStyle w:val="21"/>
          <w:rFonts w:eastAsia="仿宋_GB2312"/>
          <w:b w:val="0"/>
          <w:spacing w:val="-4"/>
          <w:sz w:val="32"/>
          <w:szCs w:val="32"/>
        </w:rPr>
        <w:t>万元，指标完成率100%。</w:t>
      </w:r>
    </w:p>
    <w:p>
      <w:pPr>
        <w:spacing w:line="560" w:lineRule="exact"/>
        <w:ind w:firstLine="567"/>
        <w:rPr>
          <w:rStyle w:val="21"/>
          <w:rFonts w:hint="default" w:eastAsia="仿宋_GB2312"/>
          <w:b w:val="0"/>
          <w:spacing w:val="-4"/>
          <w:sz w:val="32"/>
          <w:szCs w:val="32"/>
          <w:lang w:eastAsia="zh-Hans"/>
        </w:rPr>
      </w:pPr>
      <w:r>
        <w:rPr>
          <w:rStyle w:val="21"/>
          <w:rFonts w:eastAsia="仿宋_GB2312"/>
          <w:b w:val="0"/>
          <w:spacing w:val="-4"/>
          <w:sz w:val="32"/>
          <w:szCs w:val="32"/>
        </w:rPr>
        <w:t>指标</w:t>
      </w:r>
      <w:r>
        <w:rPr>
          <w:rStyle w:val="21"/>
          <w:rFonts w:hint="eastAsia" w:eastAsia="仿宋_GB2312"/>
          <w:b w:val="0"/>
          <w:spacing w:val="-4"/>
          <w:sz w:val="32"/>
          <w:szCs w:val="32"/>
        </w:rPr>
        <w:t>3</w:t>
      </w:r>
      <w:r>
        <w:rPr>
          <w:rStyle w:val="21"/>
          <w:rFonts w:eastAsia="仿宋_GB2312"/>
          <w:b w:val="0"/>
          <w:spacing w:val="-4"/>
          <w:sz w:val="32"/>
          <w:szCs w:val="32"/>
        </w:rPr>
        <w:t>：</w:t>
      </w:r>
      <w:r>
        <w:rPr>
          <w:rStyle w:val="21"/>
          <w:rFonts w:hint="eastAsia" w:eastAsia="仿宋_GB2312"/>
          <w:b w:val="0"/>
          <w:spacing w:val="-4"/>
          <w:sz w:val="32"/>
          <w:szCs w:val="32"/>
        </w:rPr>
        <w:t>被装经费</w:t>
      </w:r>
      <w:r>
        <w:rPr>
          <w:rStyle w:val="21"/>
          <w:rFonts w:eastAsia="仿宋_GB2312"/>
          <w:b w:val="0"/>
          <w:spacing w:val="-4"/>
          <w:sz w:val="32"/>
          <w:szCs w:val="32"/>
        </w:rPr>
        <w:t>，指标值：&lt;=</w:t>
      </w:r>
      <w:r>
        <w:rPr>
          <w:rStyle w:val="21"/>
          <w:rFonts w:hint="eastAsia" w:eastAsia="仿宋_GB2312"/>
          <w:b w:val="0"/>
          <w:spacing w:val="-4"/>
          <w:sz w:val="32"/>
          <w:szCs w:val="32"/>
        </w:rPr>
        <w:t>50</w:t>
      </w:r>
      <w:r>
        <w:rPr>
          <w:rStyle w:val="21"/>
          <w:rFonts w:eastAsia="仿宋_GB2312"/>
          <w:b w:val="0"/>
          <w:spacing w:val="-4"/>
          <w:sz w:val="32"/>
          <w:szCs w:val="32"/>
        </w:rPr>
        <w:t>元，实际完成值：</w:t>
      </w:r>
      <w:r>
        <w:rPr>
          <w:rStyle w:val="21"/>
          <w:rFonts w:hint="eastAsia" w:eastAsia="仿宋_GB2312"/>
          <w:b w:val="0"/>
          <w:spacing w:val="-4"/>
          <w:sz w:val="32"/>
          <w:szCs w:val="32"/>
        </w:rPr>
        <w:t>37.07</w:t>
      </w:r>
      <w:r>
        <w:rPr>
          <w:rStyle w:val="21"/>
          <w:rFonts w:eastAsia="仿宋_GB2312"/>
          <w:b w:val="0"/>
          <w:spacing w:val="-4"/>
          <w:sz w:val="32"/>
          <w:szCs w:val="32"/>
        </w:rPr>
        <w:t>万元，</w:t>
      </w:r>
      <w:r>
        <w:rPr>
          <w:rStyle w:val="21"/>
          <w:rFonts w:eastAsia="仿宋_GB2312"/>
          <w:b w:val="0"/>
          <w:color w:val="auto"/>
          <w:spacing w:val="-4"/>
          <w:sz w:val="32"/>
          <w:szCs w:val="32"/>
        </w:rPr>
        <w:t>指标完成率</w:t>
      </w:r>
      <w:r>
        <w:rPr>
          <w:rStyle w:val="21"/>
          <w:rFonts w:hint="default" w:eastAsia="仿宋_GB2312"/>
          <w:b w:val="0"/>
          <w:color w:val="auto"/>
          <w:spacing w:val="-4"/>
          <w:sz w:val="32"/>
          <w:szCs w:val="32"/>
        </w:rPr>
        <w:t>74</w:t>
      </w:r>
      <w:r>
        <w:rPr>
          <w:rStyle w:val="21"/>
          <w:rFonts w:hint="eastAsia" w:eastAsia="仿宋_GB2312"/>
          <w:b w:val="0"/>
          <w:color w:val="auto"/>
          <w:spacing w:val="-4"/>
          <w:sz w:val="32"/>
          <w:szCs w:val="32"/>
          <w:lang w:val="en-US" w:eastAsia="zh-Hans"/>
        </w:rPr>
        <w:t>.</w:t>
      </w:r>
      <w:r>
        <w:rPr>
          <w:rStyle w:val="21"/>
          <w:rFonts w:hint="default" w:eastAsia="仿宋_GB2312"/>
          <w:b w:val="0"/>
          <w:color w:val="auto"/>
          <w:spacing w:val="-4"/>
          <w:sz w:val="32"/>
          <w:szCs w:val="32"/>
          <w:lang w:eastAsia="zh-Hans"/>
        </w:rPr>
        <w:t>14</w:t>
      </w:r>
      <w:r>
        <w:rPr>
          <w:rStyle w:val="21"/>
          <w:rFonts w:eastAsia="仿宋_GB2312"/>
          <w:b w:val="0"/>
          <w:color w:val="auto"/>
          <w:spacing w:val="-4"/>
          <w:sz w:val="32"/>
          <w:szCs w:val="32"/>
        </w:rPr>
        <w:t>%</w:t>
      </w:r>
      <w:r>
        <w:rPr>
          <w:rStyle w:val="21"/>
          <w:rFonts w:hint="eastAsia" w:eastAsia="仿宋_GB2312"/>
          <w:b w:val="0"/>
          <w:color w:val="auto"/>
          <w:spacing w:val="-4"/>
          <w:sz w:val="32"/>
          <w:szCs w:val="32"/>
          <w:lang w:eastAsia="zh-Hans"/>
        </w:rPr>
        <w:t>，</w:t>
      </w:r>
      <w:r>
        <w:rPr>
          <w:rStyle w:val="21"/>
          <w:rFonts w:hint="eastAsia" w:eastAsia="仿宋_GB2312"/>
          <w:b w:val="0"/>
          <w:color w:val="auto"/>
          <w:spacing w:val="-4"/>
          <w:sz w:val="32"/>
          <w:szCs w:val="32"/>
          <w:lang w:val="en-US" w:eastAsia="zh-Hans"/>
        </w:rPr>
        <w:t>偏差率为：</w:t>
      </w:r>
      <w:r>
        <w:rPr>
          <w:rStyle w:val="21"/>
          <w:rFonts w:hint="default" w:eastAsia="仿宋_GB2312"/>
          <w:b w:val="0"/>
          <w:color w:val="auto"/>
          <w:spacing w:val="-4"/>
          <w:sz w:val="32"/>
          <w:szCs w:val="32"/>
          <w:lang w:eastAsia="zh-Hans"/>
        </w:rPr>
        <w:t>25.86%</w:t>
      </w:r>
      <w:r>
        <w:rPr>
          <w:rStyle w:val="21"/>
          <w:rFonts w:hint="eastAsia" w:eastAsia="仿宋_GB2312"/>
          <w:b w:val="0"/>
          <w:color w:val="auto"/>
          <w:spacing w:val="-4"/>
          <w:sz w:val="32"/>
          <w:szCs w:val="32"/>
          <w:lang w:eastAsia="zh-Hans"/>
        </w:rPr>
        <w:t>，</w:t>
      </w:r>
      <w:r>
        <w:rPr>
          <w:rStyle w:val="21"/>
          <w:rFonts w:hint="eastAsia" w:eastAsia="仿宋_GB2312"/>
          <w:b w:val="0"/>
          <w:color w:val="auto"/>
          <w:spacing w:val="-4"/>
          <w:sz w:val="32"/>
          <w:szCs w:val="32"/>
          <w:lang w:val="en-US" w:eastAsia="zh-Hans"/>
        </w:rPr>
        <w:t>偏差原因是：</w:t>
      </w:r>
      <w:r>
        <w:rPr>
          <w:rStyle w:val="21"/>
          <w:rFonts w:hint="default" w:eastAsia="仿宋_GB2312"/>
          <w:b w:val="0"/>
          <w:color w:val="auto"/>
          <w:spacing w:val="-4"/>
          <w:sz w:val="32"/>
          <w:szCs w:val="32"/>
          <w:lang w:eastAsia="zh-Hans"/>
        </w:rPr>
        <w:t>因预算时车队司机属着警服人员，后按相关规定车队司机不再发放警服，故存在偏差</w:t>
      </w:r>
      <w:r>
        <w:rPr>
          <w:rStyle w:val="21"/>
          <w:rFonts w:hint="eastAsia" w:eastAsia="仿宋_GB2312"/>
          <w:b w:val="0"/>
          <w:color w:val="auto"/>
          <w:spacing w:val="-4"/>
          <w:sz w:val="32"/>
          <w:szCs w:val="32"/>
          <w:lang w:eastAsia="zh-CN"/>
        </w:rPr>
        <w:t>，</w:t>
      </w:r>
      <w:r>
        <w:rPr>
          <w:rStyle w:val="21"/>
          <w:rFonts w:hint="default" w:eastAsia="仿宋_GB2312"/>
          <w:b w:val="0"/>
          <w:color w:val="auto"/>
          <w:spacing w:val="-4"/>
          <w:sz w:val="32"/>
          <w:szCs w:val="32"/>
          <w:lang w:eastAsia="zh-Hans"/>
        </w:rPr>
        <w:t>下年将按照在职民警人数更加精准的进行测算被装经费。</w:t>
      </w:r>
    </w:p>
    <w:p>
      <w:pPr>
        <w:pStyle w:val="18"/>
        <w:spacing w:line="560" w:lineRule="exact"/>
        <w:ind w:firstLine="640"/>
        <w:rPr>
          <w:rFonts w:eastAsia="楷体_GB2312"/>
          <w:bCs/>
          <w:sz w:val="32"/>
          <w:szCs w:val="32"/>
        </w:rPr>
      </w:pPr>
      <w:r>
        <w:rPr>
          <w:rFonts w:eastAsia="楷体_GB2312"/>
          <w:bCs/>
          <w:sz w:val="32"/>
          <w:szCs w:val="32"/>
        </w:rPr>
        <w:t>（四）效益情况</w:t>
      </w:r>
    </w:p>
    <w:p>
      <w:pPr>
        <w:spacing w:line="560" w:lineRule="exact"/>
        <w:ind w:firstLine="567"/>
        <w:rPr>
          <w:rStyle w:val="21"/>
          <w:rFonts w:eastAsia="仿宋_GB2312"/>
          <w:spacing w:val="-4"/>
          <w:sz w:val="32"/>
          <w:szCs w:val="32"/>
        </w:rPr>
      </w:pPr>
      <w:r>
        <w:rPr>
          <w:rStyle w:val="21"/>
          <w:rFonts w:eastAsia="仿宋_GB2312"/>
          <w:spacing w:val="-4"/>
          <w:sz w:val="32"/>
          <w:szCs w:val="32"/>
        </w:rPr>
        <w:t>1、社会效益指标方面：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指标1：司法系统后备人才率，指标值：100%，实际完成值：100%，指标完成率100%。</w:t>
      </w:r>
    </w:p>
    <w:p>
      <w:pPr>
        <w:spacing w:line="560" w:lineRule="exact"/>
        <w:ind w:firstLine="567"/>
        <w:rPr>
          <w:rStyle w:val="21"/>
          <w:rFonts w:eastAsia="仿宋_GB2312"/>
          <w:spacing w:val="-4"/>
          <w:sz w:val="32"/>
          <w:szCs w:val="32"/>
        </w:rPr>
      </w:pPr>
      <w:r>
        <w:rPr>
          <w:rStyle w:val="21"/>
          <w:rFonts w:eastAsia="仿宋_GB2312"/>
          <w:spacing w:val="-4"/>
          <w:sz w:val="32"/>
          <w:szCs w:val="32"/>
        </w:rPr>
        <w:t>2、满意度指标方面：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民警对被装配置满意度</w:t>
      </w:r>
      <w:r>
        <w:rPr>
          <w:rStyle w:val="21"/>
          <w:rFonts w:eastAsia="仿宋_GB2312"/>
          <w:b w:val="0"/>
          <w:spacing w:val="-4"/>
          <w:sz w:val="32"/>
          <w:szCs w:val="32"/>
        </w:rPr>
        <w:t>，指标值：100%，实际完成值：100%，指标完成率100%。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2</w:t>
      </w:r>
      <w:r>
        <w:rPr>
          <w:rStyle w:val="21"/>
          <w:rFonts w:eastAsia="仿宋_GB2312"/>
          <w:b w:val="0"/>
          <w:spacing w:val="-4"/>
          <w:sz w:val="32"/>
          <w:szCs w:val="32"/>
        </w:rPr>
        <w:t>：</w:t>
      </w:r>
      <w:r>
        <w:rPr>
          <w:rStyle w:val="21"/>
          <w:rFonts w:hint="eastAsia" w:eastAsia="仿宋_GB2312"/>
          <w:b w:val="0"/>
          <w:spacing w:val="-4"/>
          <w:sz w:val="32"/>
          <w:szCs w:val="32"/>
        </w:rPr>
        <w:t>师生满意度</w:t>
      </w:r>
      <w:r>
        <w:rPr>
          <w:rStyle w:val="21"/>
          <w:rFonts w:eastAsia="仿宋_GB2312"/>
          <w:b w:val="0"/>
          <w:spacing w:val="-4"/>
          <w:sz w:val="32"/>
          <w:szCs w:val="32"/>
        </w:rPr>
        <w:t>，指标值：100%，实际完成值：100%，指标完成率100%</w:t>
      </w:r>
    </w:p>
    <w:p>
      <w:pPr>
        <w:spacing w:line="560" w:lineRule="exact"/>
        <w:ind w:firstLine="640"/>
        <w:rPr>
          <w:rStyle w:val="21"/>
          <w:rFonts w:eastAsia="黑体"/>
          <w:spacing w:val="-4"/>
          <w:sz w:val="32"/>
          <w:szCs w:val="32"/>
        </w:rPr>
      </w:pPr>
      <w:r>
        <w:rPr>
          <w:rStyle w:val="21"/>
          <w:rFonts w:hAnsi="黑体" w:eastAsia="黑体"/>
          <w:b w:val="0"/>
          <w:spacing w:val="-4"/>
          <w:sz w:val="32"/>
          <w:szCs w:val="32"/>
        </w:rPr>
        <w:t>五、预算执行进度与绩效指标偏差</w:t>
      </w:r>
    </w:p>
    <w:p>
      <w:pPr>
        <w:spacing w:line="560" w:lineRule="exact"/>
        <w:ind w:firstLine="567"/>
        <w:rPr>
          <w:rStyle w:val="21"/>
          <w:rFonts w:hint="default" w:eastAsia="仿宋_GB2312"/>
          <w:b w:val="0"/>
          <w:spacing w:val="-4"/>
          <w:sz w:val="32"/>
          <w:szCs w:val="32"/>
          <w:lang w:eastAsia="zh-Hans"/>
        </w:rPr>
      </w:pPr>
      <w:r>
        <w:rPr>
          <w:rStyle w:val="21"/>
          <w:rFonts w:eastAsia="仿宋_GB2312"/>
          <w:b w:val="0"/>
          <w:spacing w:val="-4"/>
          <w:sz w:val="32"/>
          <w:szCs w:val="32"/>
        </w:rPr>
        <w:t>办公及被装经费</w:t>
      </w:r>
      <w:r>
        <w:rPr>
          <w:rFonts w:eastAsia="仿宋_GB2312"/>
          <w:sz w:val="32"/>
          <w:szCs w:val="32"/>
        </w:rPr>
        <w:t>项目年初预算</w:t>
      </w:r>
      <w:r>
        <w:rPr>
          <w:rFonts w:hint="default" w:eastAsia="仿宋_GB2312"/>
          <w:sz w:val="32"/>
          <w:szCs w:val="32"/>
        </w:rPr>
        <w:t>175</w:t>
      </w:r>
      <w:r>
        <w:rPr>
          <w:rFonts w:eastAsia="仿宋_GB2312"/>
          <w:sz w:val="32"/>
          <w:szCs w:val="32"/>
        </w:rPr>
        <w:t>万元，全年预算资金</w:t>
      </w:r>
      <w:r>
        <w:rPr>
          <w:rFonts w:hint="default" w:eastAsia="仿宋_GB2312"/>
          <w:sz w:val="32"/>
          <w:szCs w:val="32"/>
        </w:rPr>
        <w:t>175</w:t>
      </w:r>
      <w:r>
        <w:rPr>
          <w:rFonts w:eastAsia="仿宋_GB2312"/>
          <w:sz w:val="32"/>
          <w:szCs w:val="32"/>
        </w:rPr>
        <w:t>万元，实际支出资金162.07万元，预算执行率</w:t>
      </w:r>
      <w:r>
        <w:rPr>
          <w:rFonts w:hint="default" w:eastAsia="仿宋_GB2312"/>
          <w:sz w:val="32"/>
          <w:szCs w:val="32"/>
        </w:rPr>
        <w:t>92.61</w:t>
      </w:r>
      <w:r>
        <w:rPr>
          <w:rFonts w:eastAsia="仿宋_GB2312"/>
          <w:sz w:val="32"/>
          <w:szCs w:val="32"/>
        </w:rPr>
        <w:t>%，项目绩效指标总体完成率为</w:t>
      </w:r>
      <w:r>
        <w:rPr>
          <w:rFonts w:hint="default" w:eastAsia="仿宋_GB2312"/>
          <w:sz w:val="32"/>
          <w:szCs w:val="32"/>
        </w:rPr>
        <w:t>98</w:t>
      </w:r>
      <w:r>
        <w:rPr>
          <w:rFonts w:hint="eastAsia" w:eastAsia="仿宋_GB2312"/>
          <w:sz w:val="32"/>
          <w:szCs w:val="32"/>
          <w:lang w:val="en-US" w:eastAsia="zh-Hans"/>
        </w:rPr>
        <w:t>.</w:t>
      </w:r>
      <w:r>
        <w:rPr>
          <w:rFonts w:hint="default" w:eastAsia="仿宋_GB2312"/>
          <w:sz w:val="32"/>
          <w:szCs w:val="32"/>
          <w:lang w:eastAsia="zh-Hans"/>
        </w:rPr>
        <w:t>01</w:t>
      </w:r>
      <w:r>
        <w:rPr>
          <w:rFonts w:eastAsia="仿宋_GB2312"/>
          <w:sz w:val="32"/>
          <w:szCs w:val="32"/>
        </w:rPr>
        <w:t>%，</w:t>
      </w:r>
      <w:r>
        <w:rPr>
          <w:rFonts w:hint="eastAsia" w:eastAsia="仿宋_GB2312"/>
          <w:sz w:val="32"/>
          <w:szCs w:val="32"/>
          <w:lang w:val="en-US" w:eastAsia="zh-Hans"/>
        </w:rPr>
        <w:t>总体偏差率为</w:t>
      </w:r>
      <w:r>
        <w:rPr>
          <w:rFonts w:hint="default" w:eastAsia="仿宋_GB2312"/>
          <w:sz w:val="32"/>
          <w:szCs w:val="32"/>
          <w:lang w:eastAsia="zh-Hans"/>
        </w:rPr>
        <w:t>5.4%,</w:t>
      </w:r>
      <w:r>
        <w:rPr>
          <w:rStyle w:val="21"/>
          <w:rFonts w:hint="eastAsia" w:eastAsia="仿宋_GB2312"/>
          <w:b w:val="0"/>
          <w:spacing w:val="-4"/>
          <w:sz w:val="32"/>
          <w:szCs w:val="32"/>
          <w:lang w:val="en-US" w:eastAsia="zh-Hans"/>
        </w:rPr>
        <w:t>偏差原因</w:t>
      </w:r>
      <w:r>
        <w:rPr>
          <w:rStyle w:val="21"/>
          <w:rFonts w:hint="default" w:eastAsia="仿宋_GB2312"/>
          <w:b w:val="0"/>
          <w:spacing w:val="-4"/>
          <w:sz w:val="32"/>
          <w:szCs w:val="32"/>
          <w:lang w:eastAsia="zh-Hans"/>
        </w:rPr>
        <w:t>：</w:t>
      </w:r>
      <w:r>
        <w:rPr>
          <w:rStyle w:val="21"/>
          <w:rFonts w:hint="default" w:eastAsia="仿宋_GB2312"/>
          <w:b w:val="0"/>
          <w:color w:val="auto"/>
          <w:spacing w:val="-4"/>
          <w:sz w:val="32"/>
          <w:szCs w:val="32"/>
          <w:lang w:eastAsia="zh-Hans"/>
        </w:rPr>
        <w:t>因预算时车队司机属着警服人员，后按相关规定车队司机不再发放警服，故存在偏差</w:t>
      </w:r>
      <w:r>
        <w:rPr>
          <w:rStyle w:val="21"/>
          <w:rFonts w:hint="eastAsia" w:eastAsia="仿宋_GB2312"/>
          <w:b w:val="0"/>
          <w:color w:val="auto"/>
          <w:spacing w:val="-4"/>
          <w:sz w:val="32"/>
          <w:szCs w:val="32"/>
          <w:lang w:eastAsia="zh-CN"/>
        </w:rPr>
        <w:t>。</w:t>
      </w:r>
      <w:r>
        <w:rPr>
          <w:rStyle w:val="21"/>
          <w:rFonts w:hint="eastAsia" w:eastAsia="仿宋_GB2312"/>
          <w:b w:val="0"/>
          <w:spacing w:val="-4"/>
          <w:sz w:val="32"/>
          <w:szCs w:val="32"/>
          <w:lang w:val="en-US" w:eastAsia="zh-Hans"/>
        </w:rPr>
        <w:t>改进措施是：</w:t>
      </w:r>
      <w:r>
        <w:rPr>
          <w:rStyle w:val="21"/>
          <w:rFonts w:hint="default" w:eastAsia="仿宋_GB2312"/>
          <w:b w:val="0"/>
          <w:color w:val="auto"/>
          <w:spacing w:val="-4"/>
          <w:sz w:val="32"/>
          <w:szCs w:val="32"/>
          <w:lang w:eastAsia="zh-Hans"/>
        </w:rPr>
        <w:t>下年将按照在职民警人数更加精准的进行测算被装经费。</w:t>
      </w:r>
    </w:p>
    <w:p>
      <w:pPr>
        <w:spacing w:line="560" w:lineRule="exact"/>
        <w:ind w:firstLine="640"/>
        <w:rPr>
          <w:rStyle w:val="21"/>
          <w:rFonts w:eastAsia="黑体"/>
          <w:spacing w:val="-4"/>
          <w:sz w:val="32"/>
          <w:szCs w:val="32"/>
        </w:rPr>
      </w:pPr>
      <w:r>
        <w:rPr>
          <w:rStyle w:val="21"/>
          <w:rFonts w:hAnsi="黑体" w:eastAsia="黑体"/>
          <w:b w:val="0"/>
          <w:spacing w:val="-4"/>
          <w:sz w:val="32"/>
          <w:szCs w:val="32"/>
        </w:rPr>
        <w:t>六、主要经验及做法、存在的问题及原因分析</w:t>
      </w:r>
    </w:p>
    <w:p>
      <w:pPr>
        <w:spacing w:line="560" w:lineRule="exact"/>
        <w:ind w:firstLine="624" w:firstLineChars="200"/>
        <w:rPr>
          <w:rStyle w:val="21"/>
          <w:rFonts w:eastAsia="楷体"/>
          <w:bCs w:val="0"/>
          <w:spacing w:val="-4"/>
          <w:sz w:val="32"/>
          <w:szCs w:val="32"/>
        </w:rPr>
      </w:pPr>
      <w:r>
        <w:rPr>
          <w:rFonts w:eastAsia="楷体"/>
          <w:spacing w:val="-4"/>
          <w:sz w:val="32"/>
          <w:szCs w:val="32"/>
        </w:rPr>
        <w:t>（一）主要经验及做法</w:t>
      </w:r>
    </w:p>
    <w:p>
      <w:pPr>
        <w:spacing w:line="560" w:lineRule="exact"/>
        <w:ind w:firstLine="640" w:firstLineChars="200"/>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工作。</w:t>
      </w:r>
    </w:p>
    <w:p>
      <w:pPr>
        <w:pStyle w:val="17"/>
        <w:spacing w:before="0" w:after="0" w:line="560" w:lineRule="exact"/>
        <w:ind w:firstLine="640" w:firstLineChars="200"/>
        <w:jc w:val="both"/>
        <w:rPr>
          <w:rFonts w:ascii="Times New Roman" w:hAnsi="Times New Roman" w:eastAsia="仿宋_GB2312"/>
          <w:b w:val="0"/>
          <w:bCs w:val="0"/>
          <w:kern w:val="2"/>
        </w:rPr>
      </w:pPr>
      <w:r>
        <w:rPr>
          <w:rFonts w:ascii="Times New Roman" w:hAnsi="Times New Roman" w:eastAsia="仿宋_GB2312"/>
          <w:b w:val="0"/>
          <w:bCs w:val="0"/>
          <w:kern w:val="2"/>
        </w:rPr>
        <w:t>严格</w:t>
      </w:r>
      <w:r>
        <w:rPr>
          <w:rStyle w:val="21"/>
          <w:rFonts w:hint="eastAsia" w:ascii="Times New Roman" w:hAnsi="Times New Roman" w:eastAsia="仿宋_GB2312"/>
          <w:b w:val="0"/>
          <w:bCs w:val="0"/>
          <w:spacing w:val="-4"/>
        </w:rPr>
        <w:t>按照财务报销制度</w:t>
      </w:r>
      <w:r>
        <w:rPr>
          <w:rStyle w:val="21"/>
          <w:rFonts w:ascii="Times New Roman" w:hAnsi="Times New Roman" w:eastAsia="仿宋_GB2312"/>
          <w:b w:val="0"/>
          <w:bCs w:val="0"/>
          <w:spacing w:val="-4"/>
        </w:rPr>
        <w:t>支出</w:t>
      </w:r>
      <w:r>
        <w:rPr>
          <w:rFonts w:ascii="Times New Roman" w:hAnsi="Times New Roman" w:eastAsia="仿宋_GB2312"/>
          <w:b w:val="0"/>
          <w:bCs w:val="0"/>
          <w:kern w:val="2"/>
        </w:rPr>
        <w:t>原则，杜绝资金被挤占和挪用现象的发生，跟踪检查到位。政治处、财务、各职能科室等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pStyle w:val="17"/>
        <w:spacing w:before="0" w:after="0" w:line="560" w:lineRule="exact"/>
        <w:ind w:firstLine="640" w:firstLineChars="200"/>
        <w:jc w:val="both"/>
        <w:rPr>
          <w:rFonts w:ascii="Times New Roman" w:hAnsi="Times New Roman" w:eastAsia="楷体"/>
          <w:b w:val="0"/>
          <w:bCs w:val="0"/>
          <w:kern w:val="2"/>
        </w:rPr>
      </w:pPr>
      <w:r>
        <w:rPr>
          <w:rFonts w:ascii="Times New Roman" w:hAnsi="楷体" w:eastAsia="楷体"/>
          <w:b w:val="0"/>
          <w:bCs w:val="0"/>
          <w:kern w:val="2"/>
        </w:rPr>
        <w:t>（二）</w:t>
      </w:r>
      <w:r>
        <w:rPr>
          <w:rFonts w:ascii="Times New Roman" w:hAnsi="楷体" w:eastAsia="楷体"/>
          <w:b w:val="0"/>
        </w:rPr>
        <w:t>存在的问题及原因分析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本项目2022年度无存在问题。</w:t>
      </w:r>
    </w:p>
    <w:p>
      <w:pPr>
        <w:spacing w:line="560" w:lineRule="exact"/>
        <w:ind w:firstLine="624" w:firstLineChars="200"/>
        <w:rPr>
          <w:rStyle w:val="21"/>
          <w:rFonts w:eastAsia="黑体"/>
          <w:b w:val="0"/>
          <w:spacing w:val="-4"/>
          <w:sz w:val="32"/>
          <w:szCs w:val="32"/>
        </w:rPr>
      </w:pPr>
      <w:r>
        <w:rPr>
          <w:rStyle w:val="21"/>
          <w:rFonts w:hAnsi="黑体" w:eastAsia="黑体"/>
          <w:b w:val="0"/>
          <w:spacing w:val="-4"/>
          <w:sz w:val="32"/>
          <w:szCs w:val="32"/>
        </w:rPr>
        <w:t>七、有关建议</w:t>
      </w:r>
    </w:p>
    <w:p>
      <w:pPr>
        <w:spacing w:line="560" w:lineRule="exact"/>
        <w:ind w:firstLine="567"/>
        <w:rPr>
          <w:rFonts w:ascii="仿宋_GB2312" w:hAnsi="仿宋_GB2312" w:eastAsia="仿宋_GB2312" w:cs="仿宋_GB2312"/>
          <w:sz w:val="32"/>
          <w:szCs w:val="28"/>
        </w:rPr>
      </w:pPr>
      <w:r>
        <w:rPr>
          <w:rFonts w:hint="eastAsia" w:ascii="仿宋_GB2312" w:hAnsi="仿宋_GB2312" w:eastAsia="仿宋_GB2312" w:cs="仿宋_GB2312"/>
          <w:sz w:val="32"/>
          <w:szCs w:val="28"/>
        </w:rPr>
        <w:t>进一步加强对绩效管理工作的组织领导，提高对预算绩效管理工作重要性的认识，总结经验查找问题，制定更全面更完善的绩效评价管理办法。</w:t>
      </w:r>
    </w:p>
    <w:p>
      <w:pPr>
        <w:spacing w:line="560" w:lineRule="exact"/>
        <w:ind w:firstLine="567"/>
        <w:rPr>
          <w:rStyle w:val="21"/>
          <w:rFonts w:eastAsia="黑体"/>
          <w:b w:val="0"/>
          <w:spacing w:val="-4"/>
          <w:sz w:val="32"/>
          <w:szCs w:val="32"/>
        </w:rPr>
      </w:pPr>
      <w:r>
        <w:rPr>
          <w:rStyle w:val="21"/>
          <w:rFonts w:hAnsi="黑体" w:eastAsia="黑体"/>
          <w:b w:val="0"/>
          <w:spacing w:val="-4"/>
          <w:sz w:val="32"/>
          <w:szCs w:val="32"/>
        </w:rPr>
        <w:t>八、其他需要说明的问题</w:t>
      </w:r>
    </w:p>
    <w:p>
      <w:pPr>
        <w:spacing w:line="560" w:lineRule="exact"/>
        <w:ind w:firstLine="624" w:firstLineChars="200"/>
        <w:rPr>
          <w:rStyle w:val="21"/>
          <w:rFonts w:eastAsia="仿宋_GB2312"/>
          <w:b w:val="0"/>
          <w:spacing w:val="-4"/>
          <w:sz w:val="32"/>
          <w:szCs w:val="32"/>
        </w:rPr>
      </w:pPr>
      <w:r>
        <w:rPr>
          <w:rStyle w:val="21"/>
          <w:rFonts w:eastAsia="仿宋_GB2312"/>
          <w:b w:val="0"/>
          <w:spacing w:val="-4"/>
          <w:sz w:val="32"/>
          <w:szCs w:val="32"/>
        </w:rPr>
        <w:t>本项目无其他需说明情况。</w:t>
      </w:r>
    </w:p>
    <w:tbl>
      <w:tblPr>
        <w:tblStyle w:val="19"/>
        <w:tblW w:w="9420" w:type="dxa"/>
        <w:tblInd w:w="93" w:type="dxa"/>
        <w:tblLayout w:type="autofit"/>
        <w:tblCellMar>
          <w:top w:w="0" w:type="dxa"/>
          <w:left w:w="108" w:type="dxa"/>
          <w:bottom w:w="0" w:type="dxa"/>
          <w:right w:w="108" w:type="dxa"/>
        </w:tblCellMar>
      </w:tblPr>
      <w:tblGrid>
        <w:gridCol w:w="740"/>
        <w:gridCol w:w="740"/>
        <w:gridCol w:w="1000"/>
        <w:gridCol w:w="740"/>
        <w:gridCol w:w="820"/>
        <w:gridCol w:w="420"/>
        <w:gridCol w:w="820"/>
        <w:gridCol w:w="740"/>
        <w:gridCol w:w="560"/>
        <w:gridCol w:w="440"/>
        <w:gridCol w:w="580"/>
        <w:gridCol w:w="620"/>
        <w:gridCol w:w="560"/>
        <w:gridCol w:w="640"/>
      </w:tblGrid>
      <w:tr>
        <w:tblPrEx>
          <w:tblCellMar>
            <w:top w:w="0" w:type="dxa"/>
            <w:left w:w="108" w:type="dxa"/>
            <w:bottom w:w="0" w:type="dxa"/>
            <w:right w:w="108" w:type="dxa"/>
          </w:tblCellMar>
        </w:tblPrEx>
        <w:trPr>
          <w:trHeight w:val="405" w:hRule="atLeast"/>
        </w:trPr>
        <w:tc>
          <w:tcPr>
            <w:tcW w:w="9420" w:type="dxa"/>
            <w:gridSpan w:val="14"/>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绩效自评表</w:t>
            </w:r>
          </w:p>
        </w:tc>
      </w:tr>
      <w:tr>
        <w:tblPrEx>
          <w:tblCellMar>
            <w:top w:w="0" w:type="dxa"/>
            <w:left w:w="108" w:type="dxa"/>
            <w:bottom w:w="0" w:type="dxa"/>
            <w:right w:w="108" w:type="dxa"/>
          </w:tblCellMar>
        </w:tblPrEx>
        <w:trPr>
          <w:trHeight w:val="377" w:hRule="atLeast"/>
        </w:trPr>
        <w:tc>
          <w:tcPr>
            <w:tcW w:w="9420" w:type="dxa"/>
            <w:gridSpan w:val="14"/>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(2022年度)</w:t>
            </w:r>
          </w:p>
        </w:tc>
      </w:tr>
      <w:tr>
        <w:tblPrEx>
          <w:tblCellMar>
            <w:top w:w="0" w:type="dxa"/>
            <w:left w:w="108" w:type="dxa"/>
            <w:bottom w:w="0" w:type="dxa"/>
            <w:right w:w="108" w:type="dxa"/>
          </w:tblCellMar>
        </w:tblPrEx>
        <w:trPr>
          <w:trHeight w:val="270" w:hRule="atLeast"/>
        </w:trPr>
        <w:tc>
          <w:tcPr>
            <w:tcW w:w="1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794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办公及被装经费</w:t>
            </w:r>
          </w:p>
        </w:tc>
      </w:tr>
      <w:tr>
        <w:tblPrEx>
          <w:tblCellMar>
            <w:top w:w="0" w:type="dxa"/>
            <w:left w:w="108" w:type="dxa"/>
            <w:bottom w:w="0" w:type="dxa"/>
            <w:right w:w="108" w:type="dxa"/>
          </w:tblCellMar>
        </w:tblPrEx>
        <w:trPr>
          <w:trHeight w:val="270" w:hRule="atLeast"/>
        </w:trPr>
        <w:tc>
          <w:tcPr>
            <w:tcW w:w="1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38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新疆维吾尔自治区司法警官学校</w:t>
            </w:r>
          </w:p>
        </w:tc>
        <w:tc>
          <w:tcPr>
            <w:tcW w:w="13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实施单位</w:t>
            </w:r>
          </w:p>
        </w:tc>
        <w:tc>
          <w:tcPr>
            <w:tcW w:w="28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新疆维吾尔自治区司法警官学校</w:t>
            </w:r>
          </w:p>
        </w:tc>
      </w:tr>
      <w:tr>
        <w:tblPrEx>
          <w:tblCellMar>
            <w:top w:w="0" w:type="dxa"/>
            <w:left w:w="108" w:type="dxa"/>
            <w:bottom w:w="0" w:type="dxa"/>
            <w:right w:w="108" w:type="dxa"/>
          </w:tblCellMar>
        </w:tblPrEx>
        <w:trPr>
          <w:trHeight w:val="480" w:hRule="atLeast"/>
        </w:trPr>
        <w:tc>
          <w:tcPr>
            <w:tcW w:w="14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项目资金</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（万元）</w:t>
            </w: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年初预算数</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w:t>
            </w: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70" w:hRule="atLeast"/>
        </w:trPr>
        <w:tc>
          <w:tcPr>
            <w:tcW w:w="14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175</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175</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162.07</w:t>
            </w: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default" w:ascii="宋体" w:hAnsi="宋体" w:cs="宋体"/>
                <w:color w:val="000000"/>
                <w:kern w:val="0"/>
                <w:sz w:val="20"/>
                <w:szCs w:val="20"/>
              </w:rPr>
              <w:t>92.61</w:t>
            </w:r>
            <w:r>
              <w:rPr>
                <w:rFonts w:hint="eastAsia" w:ascii="宋体" w:hAnsi="宋体" w:cs="宋体"/>
                <w:color w:val="000000"/>
                <w:kern w:val="0"/>
                <w:sz w:val="20"/>
                <w:szCs w:val="20"/>
              </w:rPr>
              <w:t>%</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default" w:ascii="宋体" w:hAnsi="宋体" w:cs="宋体"/>
                <w:color w:val="000000"/>
                <w:kern w:val="0"/>
                <w:sz w:val="20"/>
                <w:szCs w:val="20"/>
              </w:rPr>
              <w:t>9.26</w:t>
            </w:r>
            <w:r>
              <w:rPr>
                <w:rFonts w:hint="eastAsia" w:ascii="宋体" w:hAnsi="宋体" w:cs="宋体"/>
                <w:color w:val="000000"/>
                <w:kern w:val="0"/>
                <w:sz w:val="20"/>
                <w:szCs w:val="20"/>
              </w:rPr>
              <w:t>分</w:t>
            </w:r>
          </w:p>
        </w:tc>
      </w:tr>
      <w:tr>
        <w:tblPrEx>
          <w:tblCellMar>
            <w:top w:w="0" w:type="dxa"/>
            <w:left w:w="108" w:type="dxa"/>
            <w:bottom w:w="0" w:type="dxa"/>
            <w:right w:w="108" w:type="dxa"/>
          </w:tblCellMar>
        </w:tblPrEx>
        <w:trPr>
          <w:trHeight w:val="270" w:hRule="atLeast"/>
        </w:trPr>
        <w:tc>
          <w:tcPr>
            <w:tcW w:w="14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其中：当年财政拨款</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175</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175</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162.07</w:t>
            </w: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14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上年结转资金</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14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w:t>
            </w:r>
            <w:bookmarkStart w:id="5" w:name="_GoBack"/>
            <w:bookmarkEnd w:id="5"/>
            <w:r>
              <w:rPr>
                <w:rFonts w:hint="eastAsia" w:ascii="宋体" w:hAnsi="宋体" w:cs="宋体"/>
                <w:color w:val="000000"/>
                <w:kern w:val="0"/>
                <w:sz w:val="20"/>
                <w:szCs w:val="20"/>
              </w:rPr>
              <w:t>　</w:t>
            </w: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454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414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实际完成情况</w:t>
            </w:r>
          </w:p>
        </w:tc>
      </w:tr>
      <w:tr>
        <w:tblPrEx>
          <w:tblCellMar>
            <w:top w:w="0" w:type="dxa"/>
            <w:left w:w="108" w:type="dxa"/>
            <w:bottom w:w="0" w:type="dxa"/>
            <w:right w:w="108" w:type="dxa"/>
          </w:tblCellMar>
        </w:tblPrEx>
        <w:trPr>
          <w:trHeight w:val="148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4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及被装经费补助中被装经费50万元能够保障民警在工作管理中，按要求统一着人民警察服装，做到管理制度化、行为规范化。弥补正常办公经费不足主要用于水费、电费、办公费、邮电费、差旅费，以保障学校正常建设发展及教职工培养，从硬件及软件两方面满足办学及培训要求。</w:t>
            </w:r>
          </w:p>
        </w:tc>
        <w:tc>
          <w:tcPr>
            <w:tcW w:w="4140" w:type="dxa"/>
            <w:gridSpan w:val="7"/>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办公及被装经费补助中被装经费50万元能够保障民警在工作管理中，按要求统一着人民警察服装，做到管理制度化、行为规范化。弥补正常办公经费不足主要用于水费、电费、办公费、邮电费、差旅费，以保障学校正常建设发展及教职工培养，从硬件及软件两方面满足办学及培训要求。</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本年度完成全年目标，实际支出162.07万元。</w:t>
            </w:r>
          </w:p>
        </w:tc>
      </w:tr>
      <w:tr>
        <w:tblPrEx>
          <w:tblCellMar>
            <w:top w:w="0" w:type="dxa"/>
            <w:left w:w="108" w:type="dxa"/>
            <w:bottom w:w="0" w:type="dxa"/>
            <w:right w:w="108" w:type="dxa"/>
          </w:tblCellMar>
        </w:tblPrEx>
        <w:trPr>
          <w:trHeight w:val="312"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19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年度指标值</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实际完成值</w:t>
            </w:r>
          </w:p>
        </w:tc>
        <w:tc>
          <w:tcPr>
            <w:tcW w:w="10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12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2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偏差原因分析及改进措施</w:t>
            </w:r>
          </w:p>
        </w:tc>
      </w:tr>
      <w:tr>
        <w:tblPrEx>
          <w:tblCellMar>
            <w:top w:w="0" w:type="dxa"/>
            <w:left w:w="108" w:type="dxa"/>
            <w:bottom w:w="0" w:type="dxa"/>
            <w:right w:w="108" w:type="dxa"/>
          </w:tblCellMar>
        </w:tblPrEx>
        <w:trPr>
          <w:trHeight w:val="312"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年度绩效指标完成情况</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在职干警人数</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&gt;=173人</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173人</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全年上缴水费、电话费次数</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=12次</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12次</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购买被装批次</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&gt;=1次</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1次</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被装项目资金使用率（%）</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办公经费资金使用率（%）</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干警服装发放及时率（%）</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办公经费支付及时率</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严格执行国家电费标准</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&lt;=0.42元</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0.42元</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办公经费</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125万元</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125万元</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被装经费</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50万元</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37.07万元</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3.71</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sz w:val="15"/>
                <w:szCs w:val="15"/>
              </w:rPr>
              <w:t>因预算时车队司机属着警服人员，后按相关规定车队司机不再发放警服，故存在偏差。下年将按照在职民警人数更加精准的进行测算被装经费。</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司法系统后备人才率</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30</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rPr>
            </w:pPr>
            <w:r>
              <w:rPr>
                <w:rFonts w:hint="default" w:ascii="宋体" w:hAnsi="宋体" w:cs="宋体"/>
                <w:color w:val="000000"/>
                <w:kern w:val="0"/>
                <w:sz w:val="20"/>
                <w:szCs w:val="20"/>
              </w:rPr>
              <w:t>30</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民警对被装配置满意度</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60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总分</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97.97分</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rStyle w:val="21"/>
          <w:b w:val="0"/>
          <w:sz w:val="32"/>
          <w:szCs w:val="32"/>
        </w:rPr>
      </w:pPr>
      <w:r>
        <w:rPr>
          <w:bCs/>
          <w:sz w:val="32"/>
          <w:szCs w:val="32"/>
        </w:rPr>
        <w:t>附件1</w:t>
      </w:r>
    </w:p>
    <w:tbl>
      <w:tblPr>
        <w:tblStyle w:val="1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28"/>
        <w:gridCol w:w="529"/>
        <w:gridCol w:w="559"/>
        <w:gridCol w:w="2422"/>
        <w:gridCol w:w="4040"/>
        <w:gridCol w:w="468"/>
        <w:gridCol w:w="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项目立项是否符合国家法律法规、国民经济发展规划和相关政策；</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项目立项是否符合行业发展规划和政策要求；</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项目立项是否与部门职责范围相符，属于部门履职所需；</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④</w:t>
            </w:r>
            <w:r>
              <w:rPr>
                <w:color w:val="000000"/>
                <w:kern w:val="0"/>
                <w:sz w:val="22"/>
                <w:szCs w:val="22"/>
              </w:rPr>
              <w:t>项目是否属于公共财政支持范围，是否符合中央、地方事权支出责任划分原则；</w:t>
            </w:r>
          </w:p>
          <w:p>
            <w:pPr>
              <w:widowControl/>
              <w:spacing w:line="0" w:lineRule="atLeast"/>
              <w:jc w:val="left"/>
              <w:rPr>
                <w:color w:val="000000"/>
                <w:kern w:val="0"/>
                <w:sz w:val="22"/>
                <w:szCs w:val="22"/>
              </w:rPr>
            </w:pPr>
            <w:r>
              <w:rPr>
                <w:rFonts w:hAnsi="宋体"/>
                <w:color w:val="000000"/>
                <w:kern w:val="0"/>
                <w:sz w:val="22"/>
                <w:szCs w:val="22"/>
              </w:rPr>
              <w:t>⑤</w:t>
            </w:r>
            <w:r>
              <w:rPr>
                <w:color w:val="000000"/>
                <w:kern w:val="0"/>
                <w:sz w:val="22"/>
                <w:szCs w:val="22"/>
              </w:rPr>
              <w:t>项目是否与相关部门同类项目或部门内部相关项目重复。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项目是否按照规定的程序申请设立；</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审批文件、材料是否符合相关要求；</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事前是否已经过必要的可行性研究、专家论证、风险评估、绩效评估、集体决策。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0" w:type="auto"/>
            <w:shd w:val="clear" w:color="000000"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（如未设定预算绩效目标，也可考核其他工作任务目标）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项目是否有绩效目标；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项目绩效目标与实际工作内容是否具有相关性；</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项目预期产出效益和效果是否符合正常的业绩水平；</w:t>
            </w:r>
          </w:p>
          <w:p>
            <w:pPr>
              <w:widowControl/>
              <w:spacing w:line="0" w:lineRule="atLeast"/>
              <w:jc w:val="left"/>
              <w:rPr>
                <w:color w:val="000000"/>
                <w:kern w:val="0"/>
                <w:sz w:val="22"/>
                <w:szCs w:val="22"/>
              </w:rPr>
            </w:pPr>
            <w:r>
              <w:rPr>
                <w:rFonts w:hAnsi="宋体"/>
                <w:color w:val="000000"/>
                <w:kern w:val="0"/>
                <w:sz w:val="22"/>
                <w:szCs w:val="22"/>
              </w:rPr>
              <w:t>④</w:t>
            </w:r>
            <w:r>
              <w:rPr>
                <w:color w:val="000000"/>
                <w:kern w:val="0"/>
                <w:sz w:val="22"/>
                <w:szCs w:val="22"/>
              </w:rPr>
              <w:t>是否与预算确定的项目投资额或资金量相匹配。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是否将项目绩效目标细化分解为具体的绩效指标；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是否通过清晰、可衡量的指标值予以体现；</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是否与项目目标任务数或计划数相对应。</w:t>
            </w:r>
          </w:p>
          <w:p>
            <w:pPr>
              <w:pStyle w:val="2"/>
              <w:rPr>
                <w:rFonts w:hint="eastAsia"/>
                <w:lang w:eastAsia="zh-CN"/>
              </w:rPr>
            </w:pP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预算编制是否经过科学论证；</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预算内容与项目内容是否匹配；</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预算额度测算依据是否充分，是否按照标准编制；</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预算确定的项目投资额或资金量是否与工作任务相匹配。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预算资金分配依据是否充分；</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资金分配额度是否合理，与项目单位或地方实际是否相适应。</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0" w:type="auto"/>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预算执行率=（实际支出资金/实际到位资金）×100%。</w:t>
            </w:r>
          </w:p>
          <w:p>
            <w:pPr>
              <w:widowControl/>
              <w:spacing w:line="0" w:lineRule="atLeast"/>
              <w:rPr>
                <w:color w:val="000000"/>
                <w:kern w:val="0"/>
                <w:sz w:val="22"/>
                <w:szCs w:val="22"/>
              </w:rPr>
            </w:pPr>
            <w:r>
              <w:rPr>
                <w:color w:val="000000"/>
                <w:kern w:val="0"/>
                <w:sz w:val="22"/>
                <w:szCs w:val="22"/>
              </w:rPr>
              <w:t>实际支出资金：一定时期（本年度或项目期）内项目实际拨付的资金。</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rFonts w:hint="default"/>
                <w:b/>
                <w:bCs/>
                <w:color w:val="000000"/>
                <w:kern w:val="0"/>
                <w:sz w:val="22"/>
                <w:szCs w:val="22"/>
              </w:rPr>
            </w:pPr>
            <w:r>
              <w:rPr>
                <w:rFonts w:hint="default"/>
                <w:b/>
                <w:bCs/>
                <w:color w:val="000000"/>
                <w:kern w:val="0"/>
                <w:sz w:val="22"/>
                <w:szCs w:val="22"/>
              </w:rPr>
              <w:t>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过程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是否符合国家财经法规和财务管理制度以及有关专项资金管理办法的规定；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资金的拨付是否有完整的审批程序和手续；</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是否符合项目预算批复或合同规定的用途；</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是否存在截留、挤占、挪用、虚列支出等情况。</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是否已制定或具有相应的财务和业务管理制度；</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财务和业务管理制度是否合法、合规、完整。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是否遵守相关法律法规和相关管理规定；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项目调整及支出调整手续是否完备；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项目合同书、验收报告、技术鉴定等资料是否齐全并及时归档；</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项目实施的人员条件、场地设备、信息支撑等是否落实到位。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实际完成率=（实际产出数/计划产出数）×100%。</w:t>
            </w:r>
          </w:p>
          <w:p>
            <w:pPr>
              <w:widowControl/>
              <w:spacing w:line="0" w:lineRule="atLeast"/>
              <w:rPr>
                <w:rFonts w:hint="eastAsia" w:eastAsia="宋体"/>
                <w:color w:val="000000"/>
                <w:kern w:val="0"/>
                <w:sz w:val="22"/>
                <w:szCs w:val="22"/>
                <w:lang w:eastAsia="zh-CN"/>
              </w:rPr>
            </w:pPr>
            <w:r>
              <w:rPr>
                <w:color w:val="000000"/>
                <w:kern w:val="0"/>
                <w:sz w:val="22"/>
                <w:szCs w:val="22"/>
              </w:rPr>
              <w:t>实际产出数：一定时期（本年度或项目期）内项目实际产出的产品或提供的服务数量。</w:t>
            </w:r>
          </w:p>
          <w:p>
            <w:pPr>
              <w:widowControl/>
              <w:spacing w:line="0" w:lineRule="atLeast"/>
              <w:rPr>
                <w:color w:val="000000"/>
                <w:kern w:val="0"/>
                <w:sz w:val="22"/>
                <w:szCs w:val="22"/>
              </w:rPr>
            </w:pPr>
            <w:r>
              <w:rPr>
                <w:color w:val="000000"/>
                <w:kern w:val="0"/>
                <w:sz w:val="22"/>
                <w:szCs w:val="22"/>
              </w:rPr>
              <w:t>计划产出数：项目绩效目标确定的在一定时期（本年度或项目期）内计划产出的产品或提供的服务数量。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kern w:val="0"/>
                <w:sz w:val="22"/>
                <w:szCs w:val="22"/>
              </w:rPr>
            </w:pPr>
            <w:r>
              <w:rPr>
                <w:b/>
                <w:bCs/>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实际完成时间：项目实施单位完成该项目实际所耗用的时间。</w:t>
            </w:r>
          </w:p>
          <w:p>
            <w:pPr>
              <w:widowControl/>
              <w:spacing w:line="0" w:lineRule="atLeast"/>
              <w:rPr>
                <w:color w:val="000000"/>
                <w:kern w:val="0"/>
                <w:sz w:val="22"/>
                <w:szCs w:val="22"/>
              </w:rPr>
            </w:pPr>
            <w:r>
              <w:rPr>
                <w:color w:val="000000"/>
                <w:kern w:val="0"/>
                <w:sz w:val="22"/>
                <w:szCs w:val="22"/>
              </w:rPr>
              <w:t>计划完成时间：按照项目实施计划或相关规定完成该项目所需的时间。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成本节约率=[（计划成本-实际成本）/计划成本]×100%。</w:t>
            </w:r>
          </w:p>
          <w:p>
            <w:pPr>
              <w:widowControl/>
              <w:spacing w:line="0" w:lineRule="atLeast"/>
              <w:rPr>
                <w:rFonts w:hint="eastAsia" w:eastAsia="宋体"/>
                <w:color w:val="000000"/>
                <w:kern w:val="0"/>
                <w:sz w:val="22"/>
                <w:szCs w:val="22"/>
                <w:lang w:eastAsia="zh-CN"/>
              </w:rPr>
            </w:pPr>
            <w:r>
              <w:rPr>
                <w:color w:val="000000"/>
                <w:kern w:val="0"/>
                <w:sz w:val="22"/>
                <w:szCs w:val="22"/>
              </w:rPr>
              <w:t>实际成本：项目实施单位如期、保质、保量完成既定工作目标实际所耗费的支出。</w:t>
            </w:r>
          </w:p>
          <w:p>
            <w:pPr>
              <w:widowControl/>
              <w:spacing w:line="0" w:lineRule="atLeast"/>
              <w:rPr>
                <w:color w:val="000000"/>
                <w:kern w:val="0"/>
                <w:sz w:val="22"/>
                <w:szCs w:val="22"/>
              </w:rPr>
            </w:pPr>
            <w:r>
              <w:rPr>
                <w:color w:val="000000"/>
                <w:kern w:val="0"/>
                <w:sz w:val="22"/>
                <w:szCs w:val="22"/>
              </w:rPr>
              <w:t>计划成本：项目实施单位为完成工作目标计划安排的支出，一般以项目预算为参考。</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0" w:type="auto"/>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r>
    </w:tbl>
    <w:p>
      <w:pPr>
        <w:spacing w:line="540" w:lineRule="exact"/>
        <w:rPr>
          <w:rStyle w:val="21"/>
          <w:rFonts w:eastAsia="仿宋"/>
          <w:b w:val="0"/>
          <w:spacing w:val="-4"/>
          <w:sz w:val="32"/>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16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docPartObj>
        <w:docPartGallery w:val="autotext"/>
      </w:docPartObj>
    </w:sdtPr>
    <w:sdtContent>
      <w:p>
        <w:pPr>
          <w:pStyle w:val="14"/>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38F0C646"/>
    <w:multiLevelType w:val="singleLevel"/>
    <w:tmpl w:val="38F0C6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IzZTI5ZWU4MWViMWU4ODUzNTQyZWUwZTQzNDQifQ=="/>
  </w:docVars>
  <w:rsids>
    <w:rsidRoot w:val="00CA6457"/>
    <w:rsid w:val="000110C4"/>
    <w:rsid w:val="00016213"/>
    <w:rsid w:val="00037D50"/>
    <w:rsid w:val="00052963"/>
    <w:rsid w:val="0005416C"/>
    <w:rsid w:val="00056465"/>
    <w:rsid w:val="000736D6"/>
    <w:rsid w:val="00081DFE"/>
    <w:rsid w:val="00083A55"/>
    <w:rsid w:val="001028C5"/>
    <w:rsid w:val="00102DFF"/>
    <w:rsid w:val="00106080"/>
    <w:rsid w:val="00106A73"/>
    <w:rsid w:val="00107135"/>
    <w:rsid w:val="00121AE4"/>
    <w:rsid w:val="0014601B"/>
    <w:rsid w:val="00146AAD"/>
    <w:rsid w:val="00150F05"/>
    <w:rsid w:val="00176EF3"/>
    <w:rsid w:val="001A233B"/>
    <w:rsid w:val="001B3A40"/>
    <w:rsid w:val="001B3CC4"/>
    <w:rsid w:val="001B473E"/>
    <w:rsid w:val="001E6EE6"/>
    <w:rsid w:val="001F06DE"/>
    <w:rsid w:val="001F48B1"/>
    <w:rsid w:val="0024618B"/>
    <w:rsid w:val="00273CCD"/>
    <w:rsid w:val="00291BC0"/>
    <w:rsid w:val="002B5E16"/>
    <w:rsid w:val="002D4BAF"/>
    <w:rsid w:val="00311DBE"/>
    <w:rsid w:val="00334E89"/>
    <w:rsid w:val="00345DD7"/>
    <w:rsid w:val="00351B93"/>
    <w:rsid w:val="00351EFF"/>
    <w:rsid w:val="003669D7"/>
    <w:rsid w:val="00370309"/>
    <w:rsid w:val="003B0577"/>
    <w:rsid w:val="003D3668"/>
    <w:rsid w:val="003E7E58"/>
    <w:rsid w:val="003F5180"/>
    <w:rsid w:val="004116FA"/>
    <w:rsid w:val="00414C3A"/>
    <w:rsid w:val="00422052"/>
    <w:rsid w:val="004233BC"/>
    <w:rsid w:val="004366A8"/>
    <w:rsid w:val="004375F0"/>
    <w:rsid w:val="00485145"/>
    <w:rsid w:val="004A05EE"/>
    <w:rsid w:val="004B18F5"/>
    <w:rsid w:val="004C0454"/>
    <w:rsid w:val="004C38BC"/>
    <w:rsid w:val="004E380C"/>
    <w:rsid w:val="004E65A9"/>
    <w:rsid w:val="004E76DD"/>
    <w:rsid w:val="004F1F3C"/>
    <w:rsid w:val="004F7065"/>
    <w:rsid w:val="00502BA7"/>
    <w:rsid w:val="005162F1"/>
    <w:rsid w:val="00535153"/>
    <w:rsid w:val="00554F82"/>
    <w:rsid w:val="0056390D"/>
    <w:rsid w:val="005719B0"/>
    <w:rsid w:val="005A4F2E"/>
    <w:rsid w:val="005A5018"/>
    <w:rsid w:val="005C51DF"/>
    <w:rsid w:val="005D10D6"/>
    <w:rsid w:val="005E7C5E"/>
    <w:rsid w:val="005F379F"/>
    <w:rsid w:val="00614920"/>
    <w:rsid w:val="00614AC1"/>
    <w:rsid w:val="00620034"/>
    <w:rsid w:val="0062024A"/>
    <w:rsid w:val="006228A1"/>
    <w:rsid w:val="0064556B"/>
    <w:rsid w:val="00660734"/>
    <w:rsid w:val="006850DB"/>
    <w:rsid w:val="006A66FE"/>
    <w:rsid w:val="006B17E3"/>
    <w:rsid w:val="006D25AB"/>
    <w:rsid w:val="0075584F"/>
    <w:rsid w:val="007768D4"/>
    <w:rsid w:val="00791FCD"/>
    <w:rsid w:val="007B7D43"/>
    <w:rsid w:val="00826E2B"/>
    <w:rsid w:val="00835ADE"/>
    <w:rsid w:val="00855E3A"/>
    <w:rsid w:val="008E3031"/>
    <w:rsid w:val="008E78D4"/>
    <w:rsid w:val="00913A32"/>
    <w:rsid w:val="0091457F"/>
    <w:rsid w:val="00922CB9"/>
    <w:rsid w:val="00925D36"/>
    <w:rsid w:val="0093734B"/>
    <w:rsid w:val="00944DD1"/>
    <w:rsid w:val="009948EC"/>
    <w:rsid w:val="009B29EB"/>
    <w:rsid w:val="009E2CFD"/>
    <w:rsid w:val="009E5CD9"/>
    <w:rsid w:val="009E7575"/>
    <w:rsid w:val="009F4373"/>
    <w:rsid w:val="00A26421"/>
    <w:rsid w:val="00A34588"/>
    <w:rsid w:val="00A3654F"/>
    <w:rsid w:val="00A413B8"/>
    <w:rsid w:val="00A4293B"/>
    <w:rsid w:val="00A67D50"/>
    <w:rsid w:val="00A74D96"/>
    <w:rsid w:val="00A8691A"/>
    <w:rsid w:val="00A972DF"/>
    <w:rsid w:val="00AC1946"/>
    <w:rsid w:val="00AC3A96"/>
    <w:rsid w:val="00AD5E52"/>
    <w:rsid w:val="00AF683C"/>
    <w:rsid w:val="00B2343E"/>
    <w:rsid w:val="00B40063"/>
    <w:rsid w:val="00B41F61"/>
    <w:rsid w:val="00B74D04"/>
    <w:rsid w:val="00B8178F"/>
    <w:rsid w:val="00BA46E6"/>
    <w:rsid w:val="00BB5015"/>
    <w:rsid w:val="00BE24BB"/>
    <w:rsid w:val="00BE45E6"/>
    <w:rsid w:val="00BE56C6"/>
    <w:rsid w:val="00C354E5"/>
    <w:rsid w:val="00C47601"/>
    <w:rsid w:val="00C56C72"/>
    <w:rsid w:val="00C62CB9"/>
    <w:rsid w:val="00CA6457"/>
    <w:rsid w:val="00CA6DC2"/>
    <w:rsid w:val="00CB491B"/>
    <w:rsid w:val="00CD37A4"/>
    <w:rsid w:val="00CE2FD9"/>
    <w:rsid w:val="00D17F2E"/>
    <w:rsid w:val="00D30354"/>
    <w:rsid w:val="00D379F7"/>
    <w:rsid w:val="00D52B7C"/>
    <w:rsid w:val="00D80C1E"/>
    <w:rsid w:val="00D85D71"/>
    <w:rsid w:val="00DB1661"/>
    <w:rsid w:val="00DC5B18"/>
    <w:rsid w:val="00DD452D"/>
    <w:rsid w:val="00DF42A0"/>
    <w:rsid w:val="00E16A7F"/>
    <w:rsid w:val="00E30E91"/>
    <w:rsid w:val="00E319F4"/>
    <w:rsid w:val="00E36ABB"/>
    <w:rsid w:val="00E769FE"/>
    <w:rsid w:val="00E774CE"/>
    <w:rsid w:val="00E85B67"/>
    <w:rsid w:val="00E96D03"/>
    <w:rsid w:val="00EA2CBE"/>
    <w:rsid w:val="00EB10A0"/>
    <w:rsid w:val="00EB2F7D"/>
    <w:rsid w:val="00F05B15"/>
    <w:rsid w:val="00F32FEE"/>
    <w:rsid w:val="00F46784"/>
    <w:rsid w:val="00FB10BB"/>
    <w:rsid w:val="090532E8"/>
    <w:rsid w:val="0B7B25AF"/>
    <w:rsid w:val="0F4856FE"/>
    <w:rsid w:val="2E78462E"/>
    <w:rsid w:val="433C55C6"/>
    <w:rsid w:val="4D2606A1"/>
    <w:rsid w:val="57FE4426"/>
    <w:rsid w:val="5BFF7F7E"/>
    <w:rsid w:val="5F992D20"/>
    <w:rsid w:val="7BFAA262"/>
    <w:rsid w:val="F79F8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4">
    <w:name w:val="heading 2"/>
    <w:basedOn w:val="1"/>
    <w:next w:val="1"/>
    <w:link w:val="24"/>
    <w:autoRedefine/>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2">
    <w:name w:val="heading 3"/>
    <w:basedOn w:val="1"/>
    <w:next w:val="1"/>
    <w:link w:val="25"/>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6"/>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7"/>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8"/>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9"/>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30"/>
    <w:autoRedefine/>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31"/>
    <w:autoRedefine/>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20">
    <w:name w:val="Default Paragraph Font"/>
    <w:autoRedefine/>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ody Text"/>
    <w:basedOn w:val="1"/>
    <w:link w:val="49"/>
    <w:semiHidden/>
    <w:unhideWhenUsed/>
    <w:qFormat/>
    <w:uiPriority w:val="99"/>
    <w:pPr>
      <w:spacing w:after="120"/>
    </w:pPr>
  </w:style>
  <w:style w:type="paragraph" w:styleId="13">
    <w:name w:val="Balloon Text"/>
    <w:basedOn w:val="1"/>
    <w:link w:val="48"/>
    <w:semiHidden/>
    <w:unhideWhenUsed/>
    <w:qFormat/>
    <w:uiPriority w:val="99"/>
    <w:rPr>
      <w:sz w:val="18"/>
      <w:szCs w:val="18"/>
    </w:rPr>
  </w:style>
  <w:style w:type="paragraph" w:styleId="14">
    <w:name w:val="footer"/>
    <w:basedOn w:val="1"/>
    <w:link w:val="47"/>
    <w:unhideWhenUsed/>
    <w:qFormat/>
    <w:uiPriority w:val="99"/>
    <w:pPr>
      <w:tabs>
        <w:tab w:val="center" w:pos="4153"/>
        <w:tab w:val="right" w:pos="8306"/>
      </w:tabs>
      <w:snapToGrid w:val="0"/>
      <w:jc w:val="left"/>
    </w:pPr>
    <w:rPr>
      <w:rFonts w:ascii="Calibri" w:hAnsi="Calibri"/>
      <w:sz w:val="18"/>
      <w:szCs w:val="18"/>
    </w:rPr>
  </w:style>
  <w:style w:type="paragraph" w:styleId="15">
    <w:name w:val="header"/>
    <w:basedOn w:val="1"/>
    <w:link w:val="4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Subtitle"/>
    <w:basedOn w:val="1"/>
    <w:next w:val="1"/>
    <w:link w:val="33"/>
    <w:autoRedefine/>
    <w:qFormat/>
    <w:uiPriority w:val="11"/>
    <w:pPr>
      <w:widowControl/>
      <w:spacing w:after="60"/>
      <w:jc w:val="center"/>
      <w:outlineLvl w:val="1"/>
    </w:pPr>
    <w:rPr>
      <w:rFonts w:asciiTheme="majorHAnsi" w:hAnsiTheme="majorHAnsi" w:eastAsiaTheme="majorEastAsia"/>
      <w:kern w:val="0"/>
      <w:sz w:val="24"/>
    </w:rPr>
  </w:style>
  <w:style w:type="paragraph" w:styleId="17">
    <w:name w:val="Title"/>
    <w:basedOn w:val="1"/>
    <w:next w:val="1"/>
    <w:link w:val="32"/>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18">
    <w:name w:val="Body Text First Indent"/>
    <w:basedOn w:val="12"/>
    <w:link w:val="50"/>
    <w:autoRedefine/>
    <w:qFormat/>
    <w:uiPriority w:val="0"/>
    <w:pPr>
      <w:spacing w:after="0"/>
      <w:ind w:firstLine="200" w:firstLineChars="200"/>
    </w:pPr>
  </w:style>
  <w:style w:type="character" w:styleId="21">
    <w:name w:val="Strong"/>
    <w:basedOn w:val="20"/>
    <w:qFormat/>
    <w:uiPriority w:val="0"/>
    <w:rPr>
      <w:b/>
      <w:bCs/>
    </w:rPr>
  </w:style>
  <w:style w:type="character" w:styleId="22">
    <w:name w:val="Emphasis"/>
    <w:basedOn w:val="20"/>
    <w:autoRedefine/>
    <w:qFormat/>
    <w:uiPriority w:val="20"/>
    <w:rPr>
      <w:rFonts w:asciiTheme="minorHAnsi" w:hAnsiTheme="minorHAnsi"/>
      <w:b/>
      <w:i/>
      <w:iCs/>
    </w:rPr>
  </w:style>
  <w:style w:type="character" w:customStyle="1" w:styleId="23">
    <w:name w:val="标题 1 Char"/>
    <w:basedOn w:val="20"/>
    <w:link w:val="3"/>
    <w:qFormat/>
    <w:uiPriority w:val="9"/>
    <w:rPr>
      <w:rFonts w:asciiTheme="majorHAnsi" w:hAnsiTheme="majorHAnsi" w:eastAsiaTheme="majorEastAsia"/>
      <w:b/>
      <w:bCs/>
      <w:kern w:val="32"/>
      <w:sz w:val="32"/>
      <w:szCs w:val="32"/>
    </w:rPr>
  </w:style>
  <w:style w:type="character" w:customStyle="1" w:styleId="24">
    <w:name w:val="标题 2 Char"/>
    <w:basedOn w:val="20"/>
    <w:link w:val="4"/>
    <w:semiHidden/>
    <w:qFormat/>
    <w:uiPriority w:val="9"/>
    <w:rPr>
      <w:rFonts w:asciiTheme="majorHAnsi" w:hAnsiTheme="majorHAnsi" w:eastAsiaTheme="majorEastAsia"/>
      <w:b/>
      <w:bCs/>
      <w:i/>
      <w:iCs/>
      <w:sz w:val="28"/>
      <w:szCs w:val="28"/>
    </w:rPr>
  </w:style>
  <w:style w:type="character" w:customStyle="1" w:styleId="25">
    <w:name w:val="标题 3 Char"/>
    <w:basedOn w:val="20"/>
    <w:link w:val="2"/>
    <w:semiHidden/>
    <w:qFormat/>
    <w:uiPriority w:val="9"/>
    <w:rPr>
      <w:rFonts w:asciiTheme="majorHAnsi" w:hAnsiTheme="majorHAnsi" w:eastAsiaTheme="majorEastAsia"/>
      <w:b/>
      <w:bCs/>
      <w:sz w:val="26"/>
      <w:szCs w:val="26"/>
    </w:rPr>
  </w:style>
  <w:style w:type="character" w:customStyle="1" w:styleId="26">
    <w:name w:val="标题 4 Char"/>
    <w:basedOn w:val="20"/>
    <w:link w:val="5"/>
    <w:qFormat/>
    <w:uiPriority w:val="9"/>
    <w:rPr>
      <w:b/>
      <w:bCs/>
      <w:sz w:val="28"/>
      <w:szCs w:val="28"/>
    </w:rPr>
  </w:style>
  <w:style w:type="character" w:customStyle="1" w:styleId="27">
    <w:name w:val="标题 5 Char"/>
    <w:basedOn w:val="20"/>
    <w:link w:val="6"/>
    <w:autoRedefine/>
    <w:semiHidden/>
    <w:qFormat/>
    <w:uiPriority w:val="9"/>
    <w:rPr>
      <w:b/>
      <w:bCs/>
      <w:i/>
      <w:iCs/>
      <w:sz w:val="26"/>
      <w:szCs w:val="26"/>
    </w:rPr>
  </w:style>
  <w:style w:type="character" w:customStyle="1" w:styleId="28">
    <w:name w:val="标题 6 Char"/>
    <w:basedOn w:val="20"/>
    <w:link w:val="7"/>
    <w:autoRedefine/>
    <w:semiHidden/>
    <w:qFormat/>
    <w:uiPriority w:val="9"/>
    <w:rPr>
      <w:b/>
      <w:bCs/>
    </w:rPr>
  </w:style>
  <w:style w:type="character" w:customStyle="1" w:styleId="29">
    <w:name w:val="标题 7 Char"/>
    <w:basedOn w:val="20"/>
    <w:link w:val="8"/>
    <w:autoRedefine/>
    <w:semiHidden/>
    <w:qFormat/>
    <w:uiPriority w:val="9"/>
    <w:rPr>
      <w:sz w:val="24"/>
      <w:szCs w:val="24"/>
    </w:rPr>
  </w:style>
  <w:style w:type="character" w:customStyle="1" w:styleId="30">
    <w:name w:val="标题 8 Char"/>
    <w:basedOn w:val="20"/>
    <w:link w:val="9"/>
    <w:autoRedefine/>
    <w:semiHidden/>
    <w:qFormat/>
    <w:uiPriority w:val="9"/>
    <w:rPr>
      <w:i/>
      <w:iCs/>
      <w:sz w:val="24"/>
      <w:szCs w:val="24"/>
    </w:rPr>
  </w:style>
  <w:style w:type="character" w:customStyle="1" w:styleId="31">
    <w:name w:val="标题 9 Char"/>
    <w:basedOn w:val="20"/>
    <w:link w:val="10"/>
    <w:autoRedefine/>
    <w:semiHidden/>
    <w:qFormat/>
    <w:uiPriority w:val="9"/>
    <w:rPr>
      <w:rFonts w:asciiTheme="majorHAnsi" w:hAnsiTheme="majorHAnsi" w:eastAsiaTheme="majorEastAsia"/>
    </w:rPr>
  </w:style>
  <w:style w:type="character" w:customStyle="1" w:styleId="32">
    <w:name w:val="标题 Char"/>
    <w:basedOn w:val="20"/>
    <w:link w:val="17"/>
    <w:autoRedefine/>
    <w:qFormat/>
    <w:uiPriority w:val="10"/>
    <w:rPr>
      <w:rFonts w:asciiTheme="majorHAnsi" w:hAnsiTheme="majorHAnsi" w:eastAsiaTheme="majorEastAsia"/>
      <w:b/>
      <w:bCs/>
      <w:kern w:val="28"/>
      <w:sz w:val="32"/>
      <w:szCs w:val="32"/>
    </w:rPr>
  </w:style>
  <w:style w:type="character" w:customStyle="1" w:styleId="33">
    <w:name w:val="副标题 Char"/>
    <w:basedOn w:val="20"/>
    <w:link w:val="16"/>
    <w:autoRedefine/>
    <w:qFormat/>
    <w:uiPriority w:val="11"/>
    <w:rPr>
      <w:rFonts w:asciiTheme="majorHAnsi" w:hAnsiTheme="majorHAnsi" w:eastAsiaTheme="majorEastAsia"/>
      <w:sz w:val="24"/>
      <w:szCs w:val="24"/>
    </w:rPr>
  </w:style>
  <w:style w:type="paragraph" w:styleId="34">
    <w:name w:val="No Spacing"/>
    <w:basedOn w:val="1"/>
    <w:autoRedefine/>
    <w:qFormat/>
    <w:uiPriority w:val="1"/>
    <w:pPr>
      <w:widowControl/>
      <w:jc w:val="left"/>
    </w:pPr>
    <w:rPr>
      <w:rFonts w:asciiTheme="minorHAnsi" w:hAnsiTheme="minorHAnsi" w:eastAsiaTheme="minorEastAsia"/>
      <w:kern w:val="0"/>
      <w:sz w:val="24"/>
      <w:szCs w:val="32"/>
      <w:lang w:eastAsia="en-US" w:bidi="en-US"/>
    </w:rPr>
  </w:style>
  <w:style w:type="paragraph" w:styleId="35">
    <w:name w:val="List Paragraph"/>
    <w:basedOn w:val="1"/>
    <w:autoRedefine/>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6">
    <w:name w:val="Quote"/>
    <w:basedOn w:val="1"/>
    <w:next w:val="1"/>
    <w:link w:val="37"/>
    <w:autoRedefine/>
    <w:qFormat/>
    <w:uiPriority w:val="29"/>
    <w:pPr>
      <w:widowControl/>
      <w:jc w:val="left"/>
    </w:pPr>
    <w:rPr>
      <w:rFonts w:asciiTheme="minorHAnsi" w:hAnsiTheme="minorHAnsi" w:eastAsiaTheme="minorEastAsia"/>
      <w:i/>
      <w:kern w:val="0"/>
      <w:sz w:val="24"/>
    </w:rPr>
  </w:style>
  <w:style w:type="character" w:customStyle="1" w:styleId="37">
    <w:name w:val="引用 Char"/>
    <w:basedOn w:val="20"/>
    <w:link w:val="36"/>
    <w:autoRedefine/>
    <w:qFormat/>
    <w:uiPriority w:val="29"/>
    <w:rPr>
      <w:i/>
      <w:sz w:val="24"/>
      <w:szCs w:val="24"/>
    </w:rPr>
  </w:style>
  <w:style w:type="paragraph" w:styleId="38">
    <w:name w:val="Intense Quote"/>
    <w:basedOn w:val="1"/>
    <w:next w:val="1"/>
    <w:link w:val="39"/>
    <w:autoRedefine/>
    <w:qFormat/>
    <w:uiPriority w:val="30"/>
    <w:pPr>
      <w:widowControl/>
      <w:ind w:left="720" w:right="720"/>
      <w:jc w:val="left"/>
    </w:pPr>
    <w:rPr>
      <w:rFonts w:asciiTheme="minorHAnsi" w:hAnsiTheme="minorHAnsi" w:eastAsiaTheme="minorEastAsia"/>
      <w:b/>
      <w:i/>
      <w:kern w:val="0"/>
      <w:sz w:val="24"/>
      <w:szCs w:val="22"/>
    </w:rPr>
  </w:style>
  <w:style w:type="character" w:customStyle="1" w:styleId="39">
    <w:name w:val="明显引用 Char"/>
    <w:basedOn w:val="20"/>
    <w:link w:val="38"/>
    <w:autoRedefine/>
    <w:qFormat/>
    <w:uiPriority w:val="30"/>
    <w:rPr>
      <w:b/>
      <w:i/>
      <w:sz w:val="24"/>
    </w:rPr>
  </w:style>
  <w:style w:type="character" w:customStyle="1" w:styleId="40">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1">
    <w:name w:val="明显强调1"/>
    <w:basedOn w:val="20"/>
    <w:autoRedefine/>
    <w:qFormat/>
    <w:uiPriority w:val="21"/>
    <w:rPr>
      <w:b/>
      <w:i/>
      <w:sz w:val="24"/>
      <w:szCs w:val="24"/>
      <w:u w:val="single"/>
    </w:rPr>
  </w:style>
  <w:style w:type="character" w:customStyle="1" w:styleId="42">
    <w:name w:val="不明显参考1"/>
    <w:basedOn w:val="20"/>
    <w:autoRedefine/>
    <w:qFormat/>
    <w:uiPriority w:val="31"/>
    <w:rPr>
      <w:sz w:val="24"/>
      <w:szCs w:val="24"/>
      <w:u w:val="single"/>
    </w:rPr>
  </w:style>
  <w:style w:type="character" w:customStyle="1" w:styleId="43">
    <w:name w:val="明显参考1"/>
    <w:basedOn w:val="20"/>
    <w:qFormat/>
    <w:uiPriority w:val="32"/>
    <w:rPr>
      <w:b/>
      <w:sz w:val="24"/>
      <w:u w:val="single"/>
    </w:rPr>
  </w:style>
  <w:style w:type="character" w:customStyle="1" w:styleId="44">
    <w:name w:val="书籍标题1"/>
    <w:basedOn w:val="20"/>
    <w:qFormat/>
    <w:uiPriority w:val="33"/>
    <w:rPr>
      <w:rFonts w:asciiTheme="majorHAnsi" w:hAnsiTheme="majorHAnsi" w:eastAsiaTheme="majorEastAsia"/>
      <w:b/>
      <w:i/>
      <w:sz w:val="24"/>
      <w:szCs w:val="24"/>
    </w:rPr>
  </w:style>
  <w:style w:type="paragraph" w:customStyle="1" w:styleId="45">
    <w:name w:val="TOC 标题1"/>
    <w:basedOn w:val="3"/>
    <w:next w:val="1"/>
    <w:autoRedefine/>
    <w:semiHidden/>
    <w:unhideWhenUsed/>
    <w:qFormat/>
    <w:uiPriority w:val="39"/>
    <w:pPr>
      <w:outlineLvl w:val="9"/>
    </w:pPr>
    <w:rPr>
      <w:lang w:eastAsia="en-US" w:bidi="en-US"/>
    </w:rPr>
  </w:style>
  <w:style w:type="character" w:customStyle="1" w:styleId="46">
    <w:name w:val="页眉 Char"/>
    <w:basedOn w:val="20"/>
    <w:link w:val="15"/>
    <w:autoRedefine/>
    <w:qFormat/>
    <w:uiPriority w:val="99"/>
    <w:rPr>
      <w:rFonts w:ascii="Calibri" w:hAnsi="Calibri" w:eastAsia="宋体"/>
      <w:kern w:val="2"/>
      <w:sz w:val="18"/>
      <w:szCs w:val="18"/>
    </w:rPr>
  </w:style>
  <w:style w:type="character" w:customStyle="1" w:styleId="47">
    <w:name w:val="页脚 Char"/>
    <w:basedOn w:val="20"/>
    <w:link w:val="14"/>
    <w:autoRedefine/>
    <w:qFormat/>
    <w:uiPriority w:val="99"/>
    <w:rPr>
      <w:rFonts w:ascii="Calibri" w:hAnsi="Calibri" w:eastAsia="宋体"/>
      <w:kern w:val="2"/>
      <w:sz w:val="18"/>
      <w:szCs w:val="18"/>
    </w:rPr>
  </w:style>
  <w:style w:type="character" w:customStyle="1" w:styleId="48">
    <w:name w:val="批注框文本 Char"/>
    <w:basedOn w:val="20"/>
    <w:link w:val="13"/>
    <w:autoRedefine/>
    <w:semiHidden/>
    <w:qFormat/>
    <w:uiPriority w:val="99"/>
    <w:rPr>
      <w:rFonts w:ascii="Times New Roman" w:hAnsi="Times New Roman" w:eastAsia="宋体"/>
      <w:kern w:val="2"/>
      <w:sz w:val="18"/>
      <w:szCs w:val="18"/>
    </w:rPr>
  </w:style>
  <w:style w:type="character" w:customStyle="1" w:styleId="49">
    <w:name w:val="正文文本 Char"/>
    <w:basedOn w:val="20"/>
    <w:link w:val="12"/>
    <w:semiHidden/>
    <w:qFormat/>
    <w:uiPriority w:val="99"/>
    <w:rPr>
      <w:rFonts w:ascii="Times New Roman" w:hAnsi="Times New Roman" w:eastAsia="宋体"/>
      <w:kern w:val="2"/>
      <w:sz w:val="21"/>
      <w:szCs w:val="24"/>
    </w:rPr>
  </w:style>
  <w:style w:type="character" w:customStyle="1" w:styleId="50">
    <w:name w:val="正文首行缩进 Char"/>
    <w:basedOn w:val="49"/>
    <w:link w:val="18"/>
    <w:qFormat/>
    <w:uiPriority w:val="0"/>
  </w:style>
  <w:style w:type="paragraph" w:customStyle="1" w:styleId="51">
    <w:name w:val="闻政-正文段落文字"/>
    <w:basedOn w:val="1"/>
    <w:qFormat/>
    <w:uiPriority w:val="3"/>
    <w:pPr>
      <w:spacing w:line="500" w:lineRule="exact"/>
      <w:ind w:firstLine="200"/>
    </w:pPr>
    <w:rPr>
      <w:kern w:val="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8702</Words>
  <Characters>9233</Characters>
  <Lines>67</Lines>
  <Paragraphs>19</Paragraphs>
  <TotalTime>14</TotalTime>
  <ScaleCrop>false</ScaleCrop>
  <LinksUpToDate>false</LinksUpToDate>
  <CharactersWithSpaces>9286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2018-08-16T10:06:00Z</dcterms:created>
  <dc:creator>赵 恺（预算处）</dc:creator>
  <cp:lastModifiedBy>。</cp:lastModifiedBy>
  <cp:lastPrinted>2023-03-29T11:38:00Z</cp:lastPrinted>
  <dcterms:modified xsi:type="dcterms:W3CDTF">2023-12-28T14:39:53Z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A138483C7F901BE7DAF524648A9659D6_43</vt:lpwstr>
  </property>
</Properties>
</file>