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lang w:val="en-US" w:eastAsia="zh-CN"/>
        </w:rPr>
      </w:pP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办公场所租赁及业务运行费</w:t>
      </w:r>
      <w:r>
        <w:rPr>
          <w:rFonts w:eastAsia="方正小标宋_GBK"/>
          <w:kern w:val="0"/>
          <w:sz w:val="48"/>
          <w:szCs w:val="48"/>
        </w:rPr>
        <w:t>资金</w:t>
      </w:r>
    </w:p>
    <w:p>
      <w:pPr>
        <w:spacing w:line="540" w:lineRule="exact"/>
        <w:jc w:val="center"/>
        <w:rPr>
          <w:rFonts w:eastAsia="方正小标宋_GBK"/>
          <w:kern w:val="0"/>
          <w:sz w:val="48"/>
          <w:szCs w:val="48"/>
        </w:rPr>
      </w:pPr>
      <w:r>
        <w:rPr>
          <w:rFonts w:eastAsia="方正小标宋_GBK"/>
          <w:kern w:val="0"/>
          <w:sz w:val="48"/>
          <w:szCs w:val="48"/>
        </w:rPr>
        <w:t>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办公场所租赁及业务运行费</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lang w:eastAsia="zh-CN"/>
        </w:rPr>
        <w:t>新</w:t>
      </w:r>
      <w:r>
        <w:rPr>
          <w:rFonts w:hint="eastAsia" w:eastAsia="仿宋_GB2312"/>
          <w:kern w:val="0"/>
          <w:sz w:val="36"/>
          <w:szCs w:val="36"/>
        </w:rPr>
        <w:t>疆维吾尔自治区司法鉴定科学技术研究所</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新</w:t>
      </w:r>
      <w:r>
        <w:rPr>
          <w:rFonts w:hint="eastAsia" w:eastAsia="仿宋_GB2312"/>
          <w:kern w:val="0"/>
          <w:sz w:val="36"/>
          <w:szCs w:val="36"/>
        </w:rPr>
        <w:t>疆维吾尔自治区司法</w:t>
      </w:r>
      <w:r>
        <w:rPr>
          <w:rFonts w:hint="eastAsia" w:eastAsia="仿宋_GB2312"/>
          <w:kern w:val="0"/>
          <w:sz w:val="36"/>
          <w:szCs w:val="36"/>
          <w:lang w:eastAsia="zh-CN"/>
        </w:rPr>
        <w:t>厅</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孟滟</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2023</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16</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1"/>
          <w:rFonts w:eastAsia="黑体"/>
          <w:b w:val="0"/>
          <w:spacing w:val="-4"/>
          <w:sz w:val="32"/>
          <w:szCs w:val="32"/>
        </w:rPr>
      </w:pPr>
    </w:p>
    <w:p>
      <w:pPr>
        <w:spacing w:line="600" w:lineRule="exact"/>
        <w:rPr>
          <w:rFonts w:eastAsia="黑体"/>
          <w:bCs/>
          <w:sz w:val="32"/>
          <w:szCs w:val="32"/>
        </w:rPr>
      </w:pPr>
    </w:p>
    <w:p>
      <w:pPr>
        <w:pStyle w:val="2"/>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bCs/>
          <w:sz w:val="32"/>
          <w:szCs w:val="32"/>
        </w:rPr>
        <w:t>一、基本情况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bCs/>
          <w:sz w:val="32"/>
          <w:szCs w:val="32"/>
        </w:rPr>
      </w:pPr>
      <w:r>
        <w:rPr>
          <w:rFonts w:eastAsia="仿宋_GB2312"/>
          <w:b/>
          <w:bCs/>
          <w:sz w:val="32"/>
          <w:szCs w:val="32"/>
        </w:rPr>
        <w:t>1、项目背景</w:t>
      </w:r>
    </w:p>
    <w:p>
      <w:pPr>
        <w:pStyle w:val="2"/>
        <w:keepNext w:val="0"/>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研究所承担着开展司法鉴定科学技术理论研究工作；承办司法机关委托的重大、疑难、复杂案件的鉴定和社会鉴定机构多次鉴定仍有争议的鉴定案件；承担国家部委和自治区有关部门重点科技攻关项目；承担社会委托鉴定案件。财政预算办公经费远远不能满足研究所正常运转所需。办公场所租赁及业务运行费主要用于弥补研究所公用经费不足，以保障研究所正常业务的开展及未来项目的规划设计运行要求。2022年财政拨付项目资金15万元。截至2022年12月31日，该项目资金共使用11.56万元，使用率77.07%。</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仿宋_GB2312"/>
          <w:kern w:val="2"/>
          <w:lang w:eastAsia="zh-CN"/>
        </w:rPr>
      </w:pPr>
      <w:r>
        <w:rPr>
          <w:rFonts w:hint="eastAsia" w:ascii="Times New Roman" w:hAnsi="Times New Roman" w:eastAsia="仿宋_GB2312"/>
          <w:kern w:val="2"/>
          <w:lang w:val="en-US" w:eastAsia="zh-CN"/>
        </w:rPr>
        <w:t>2、</w:t>
      </w:r>
      <w:r>
        <w:rPr>
          <w:rFonts w:ascii="Times New Roman" w:hAnsi="Times New Roman" w:eastAsia="仿宋_GB2312"/>
          <w:kern w:val="2"/>
        </w:rPr>
        <w:t>项目主要内容</w:t>
      </w:r>
      <w:r>
        <w:rPr>
          <w:rFonts w:hint="eastAsia" w:ascii="Times New Roman" w:hAnsi="Times New Roman" w:eastAsia="仿宋_GB2312"/>
          <w:kern w:val="2"/>
          <w:lang w:eastAsia="zh-CN"/>
        </w:rPr>
        <w:t>及实施情况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eastAsia="仿宋_GB2312"/>
          <w:sz w:val="32"/>
          <w:szCs w:val="32"/>
          <w:lang w:val="en-US" w:eastAsia="zh-CN"/>
        </w:rPr>
      </w:pPr>
      <w:r>
        <w:rPr>
          <w:rFonts w:hint="eastAsia" w:eastAsia="仿宋_GB2312"/>
          <w:sz w:val="32"/>
          <w:szCs w:val="32"/>
          <w:lang w:eastAsia="zh-CN"/>
        </w:rPr>
        <w:t>项目主要内容：</w:t>
      </w:r>
      <w:r>
        <w:rPr>
          <w:rFonts w:hint="eastAsia" w:eastAsia="仿宋_GB2312"/>
          <w:sz w:val="32"/>
          <w:szCs w:val="32"/>
        </w:rPr>
        <w:t>保障研究所正常运转，保证研究所人员经费支出不足部分、办公场所租赁部分，为人员经费及工作场所提供保障，日常工作中能够按上级部门要求报送月报、季报等。</w:t>
      </w:r>
      <w:r>
        <w:rPr>
          <w:rFonts w:hint="eastAsia" w:eastAsia="仿宋_GB2312"/>
          <w:sz w:val="32"/>
          <w:szCs w:val="32"/>
          <w:lang w:eastAsia="zh-CN"/>
        </w:rPr>
        <w:t>按要求设定了产出指标</w:t>
      </w:r>
      <w:r>
        <w:rPr>
          <w:rFonts w:hint="eastAsia" w:eastAsia="仿宋_GB2312"/>
          <w:sz w:val="32"/>
          <w:szCs w:val="32"/>
          <w:lang w:val="en-US" w:eastAsia="zh-CN"/>
        </w:rPr>
        <w:t>4条，分别是数量指标2条（地下室租赁面积≥20㎡、人员办公人数=15人）、时效指标1条（公用经费支付及时率=100%）、成本指标1条（人均运转经费=1万）；效益指标1条，为社会效益指标（保障正常开展办公业务≥90%）；满意度指标2条（出租方满意度=100%、工作人员满意度≥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本项目总投资</w:t>
      </w:r>
      <w:r>
        <w:rPr>
          <w:rFonts w:hint="eastAsia" w:eastAsia="仿宋_GB2312"/>
          <w:sz w:val="32"/>
          <w:szCs w:val="32"/>
          <w:lang w:val="en-US" w:eastAsia="zh-CN"/>
        </w:rPr>
        <w:t>15</w:t>
      </w:r>
      <w:r>
        <w:rPr>
          <w:rFonts w:hint="eastAsia" w:eastAsia="仿宋_GB2312"/>
          <w:sz w:val="32"/>
          <w:szCs w:val="32"/>
        </w:rPr>
        <w:t>万元，其中：财政拨款资金</w:t>
      </w:r>
      <w:r>
        <w:rPr>
          <w:rFonts w:hint="eastAsia" w:eastAsia="仿宋_GB2312"/>
          <w:sz w:val="32"/>
          <w:szCs w:val="32"/>
          <w:lang w:val="en-US" w:eastAsia="zh-CN"/>
        </w:rPr>
        <w:t>15</w:t>
      </w:r>
      <w:r>
        <w:rPr>
          <w:rFonts w:hint="eastAsia" w:eastAsia="仿宋_GB2312"/>
          <w:sz w:val="32"/>
          <w:szCs w:val="32"/>
        </w:rPr>
        <w:t>万元。其他资金</w:t>
      </w:r>
      <w:r>
        <w:rPr>
          <w:rFonts w:hint="eastAsia" w:eastAsia="仿宋_GB2312"/>
          <w:sz w:val="32"/>
          <w:szCs w:val="32"/>
          <w:lang w:val="en-US" w:eastAsia="zh-CN"/>
        </w:rPr>
        <w:t>0</w:t>
      </w:r>
      <w:r>
        <w:rPr>
          <w:rFonts w:hint="eastAsia" w:eastAsia="仿宋_GB2312"/>
          <w:sz w:val="32"/>
          <w:szCs w:val="32"/>
        </w:rPr>
        <w:t>万元。项目实际支出</w:t>
      </w:r>
      <w:r>
        <w:rPr>
          <w:rFonts w:hint="eastAsia" w:eastAsia="仿宋_GB2312"/>
          <w:sz w:val="32"/>
          <w:szCs w:val="32"/>
          <w:lang w:val="en-US" w:eastAsia="zh-CN"/>
        </w:rPr>
        <w:t>11.56</w:t>
      </w:r>
      <w:r>
        <w:rPr>
          <w:rFonts w:hint="eastAsia" w:eastAsia="仿宋_GB2312"/>
          <w:sz w:val="32"/>
          <w:szCs w:val="32"/>
        </w:rPr>
        <w:t>万元，支出率为</w:t>
      </w:r>
      <w:r>
        <w:rPr>
          <w:rFonts w:hint="eastAsia" w:eastAsia="仿宋_GB2312"/>
          <w:sz w:val="32"/>
          <w:szCs w:val="32"/>
          <w:lang w:val="en-US" w:eastAsia="zh-CN"/>
        </w:rPr>
        <w:t>77.07</w:t>
      </w:r>
      <w:r>
        <w:rPr>
          <w:rFonts w:hint="eastAsia"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eastAsia="仿宋_GB2312"/>
          <w:b/>
          <w:bCs/>
          <w:sz w:val="32"/>
          <w:szCs w:val="32"/>
        </w:rPr>
      </w:pPr>
      <w:r>
        <w:rPr>
          <w:rFonts w:eastAsia="仿宋_GB2312"/>
          <w:b/>
          <w:bCs/>
          <w:sz w:val="32"/>
          <w:szCs w:val="32"/>
        </w:rPr>
        <w:t>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20"/>
          <w:szCs w:val="20"/>
        </w:rPr>
      </w:pPr>
      <w:r>
        <w:rPr>
          <w:rFonts w:eastAsia="仿宋_GB2312"/>
          <w:sz w:val="32"/>
          <w:szCs w:val="32"/>
        </w:rPr>
        <w:t>（1）资金安排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项目总投资</w:t>
      </w:r>
      <w:r>
        <w:rPr>
          <w:rFonts w:hint="eastAsia" w:eastAsia="仿宋_GB2312"/>
          <w:sz w:val="32"/>
          <w:szCs w:val="32"/>
          <w:lang w:val="en-US" w:eastAsia="zh-CN"/>
        </w:rPr>
        <w:t>15</w:t>
      </w:r>
      <w:r>
        <w:rPr>
          <w:rFonts w:hint="eastAsia" w:eastAsia="仿宋_GB2312"/>
          <w:sz w:val="32"/>
          <w:szCs w:val="32"/>
        </w:rPr>
        <w:t>万元，按照单位财务制度等相关规定，资金支出符合办公场所租赁及业务运行费项目资金费用范围，做到了专款专用。在项目资金拨付和使用过程中，为确保项目资金的安全性，提高项目资金使用效率，严格遵循办公场所租赁及业务运行费项目资金的拨付程序，认真审核项目实施各阶段的相关材料和手续，根据项目实施进展情况拨付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（2）预算资金来源及使用情况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项目预算资金来源于财政拨款，项目资金到位</w:t>
      </w:r>
      <w:r>
        <w:rPr>
          <w:rFonts w:hint="eastAsia" w:eastAsia="仿宋_GB2312"/>
          <w:sz w:val="32"/>
          <w:szCs w:val="32"/>
          <w:lang w:val="en-US" w:eastAsia="zh-CN"/>
        </w:rPr>
        <w:t>15</w:t>
      </w:r>
      <w:r>
        <w:rPr>
          <w:rFonts w:hint="eastAsia" w:eastAsia="仿宋_GB2312"/>
          <w:sz w:val="32"/>
          <w:szCs w:val="32"/>
        </w:rPr>
        <w:t>万元，用于弥补一般预算经费不足，保障研究所正常运转，保证研究所人员经费支出不足部分、办公场所租赁部分，为人员经费及工作场所提供保障，日常工作中能够按上级部门要求报送月报、季报等</w:t>
      </w:r>
      <w:r>
        <w:rPr>
          <w:rFonts w:hint="eastAsia" w:eastAsia="仿宋_GB2312"/>
          <w:sz w:val="32"/>
          <w:szCs w:val="32"/>
          <w:lang w:eastAsia="zh-CN"/>
        </w:rPr>
        <w:t>，</w:t>
      </w:r>
      <w:r>
        <w:rPr>
          <w:rFonts w:hint="eastAsia" w:eastAsia="仿宋_GB2312"/>
          <w:sz w:val="32"/>
          <w:szCs w:val="32"/>
          <w:lang w:val="en-US" w:eastAsia="zh-CN"/>
        </w:rPr>
        <w:t>2022年办公场所租赁及业务运行费项目</w:t>
      </w:r>
      <w:r>
        <w:rPr>
          <w:rFonts w:hint="eastAsia" w:eastAsia="仿宋_GB2312"/>
          <w:sz w:val="32"/>
          <w:szCs w:val="32"/>
        </w:rPr>
        <w:t>使用资金数</w:t>
      </w:r>
      <w:r>
        <w:rPr>
          <w:rFonts w:hint="eastAsia" w:eastAsia="仿宋_GB2312"/>
          <w:sz w:val="32"/>
          <w:szCs w:val="32"/>
          <w:lang w:val="en-US" w:eastAsia="zh-CN"/>
        </w:rPr>
        <w:t>11.56</w:t>
      </w:r>
      <w:r>
        <w:rPr>
          <w:rFonts w:hint="eastAsia"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eastAsia="zh-CN"/>
        </w:rPr>
        <w:t>目标</w:t>
      </w:r>
      <w:r>
        <w:rPr>
          <w:rFonts w:hint="eastAsia" w:eastAsia="仿宋_GB2312"/>
          <w:sz w:val="32"/>
          <w:szCs w:val="32"/>
          <w:lang w:val="en-US" w:eastAsia="zh-CN"/>
        </w:rPr>
        <w:t>1：确保研究所人员工资待遇及正常工作运转。</w:t>
      </w:r>
    </w:p>
    <w:p>
      <w:pPr>
        <w:pStyle w:val="2"/>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目标2：重点实验室仪器设备存放场地租赁及办公业务运行费主要用于弥补研究所公用经费不足，以保障研究所正常业务的开展及未来项目的规划设计运行要求。</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2、阶段性目标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hint="eastAsia" w:eastAsia="仿宋_GB2312"/>
          <w:sz w:val="32"/>
          <w:szCs w:val="32"/>
        </w:rPr>
        <w:t>通过办公场所租赁及业务运行费项目支出，弥补一般预算经费不足，保障研究所正常运转，保证研究所人员经费支出不足部分、办公场所租赁部分，为人员经费及工作场所提供保障，日常工作中能够按上级部门要求报送月报、季报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w:t>
      </w:r>
      <w:r>
        <w:rPr>
          <w:rFonts w:hint="eastAsia" w:eastAsia="仿宋_GB2312"/>
          <w:sz w:val="32"/>
          <w:szCs w:val="32"/>
        </w:rPr>
        <w:t>项目在实施前向项目负责人提供财政支出绩效方面的资金管理信息，促进项目支出严格按照资金管理规定进行。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（2）项目绩效管理财政支出运行提供及时、有效的信息。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eastAsia="仿宋_GB2312"/>
          <w:sz w:val="32"/>
          <w:szCs w:val="32"/>
          <w:lang w:eastAsia="zh-CN"/>
        </w:rPr>
        <w:t>2、绩效评价的对象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eastAsia="仿宋_GB2312"/>
          <w:sz w:val="32"/>
          <w:szCs w:val="32"/>
          <w:lang w:eastAsia="zh-CN"/>
        </w:rPr>
        <w:t>办公场所租赁及业务运行费项目所包含的重点实验室仪器设备存放场地租赁面积、公用经费支付及时率、人均运转经费情况、保障正常开展办公业务情况、出租方及工作人员满意度情况等。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eastAsia="仿宋_GB2312"/>
          <w:sz w:val="32"/>
          <w:szCs w:val="32"/>
          <w:lang w:eastAsia="zh-CN"/>
        </w:rPr>
        <w:t>3、绩效评价的范围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eastAsia="仿宋_GB2312"/>
          <w:sz w:val="32"/>
          <w:szCs w:val="32"/>
          <w:lang w:eastAsia="zh-CN"/>
        </w:rPr>
        <w:t>办公场所租赁及业务运行费项目的产出、效益、满意度等。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pPr>
      <w:r>
        <w:rPr>
          <w:rFonts w:eastAsia="楷体_GB2312"/>
          <w:b/>
          <w:bCs/>
          <w:sz w:val="32"/>
          <w:szCs w:val="32"/>
        </w:rPr>
        <w:t>（二）绩效评价原则、评价指标体系（详情见表1）、评价方法、评价标准。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1、绩效评价原则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本次项目绩效评价遵循以下基本原则：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（1）确定评价指标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（2）确定权重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（3）确定指标标准值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具体评价指标体系详情见附件1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3、绩效评价方法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绩效评价从项目决策、项目过程、项目产出、项目效益四个维度进行评价。评价对象为项目目标实施情况，评价核心为资金的支出完成情况和项目的产出效益。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（1）比较法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通过对绩效目标与实施效果、历史与当期情况，综合分析绩效目标实现程度。对项目最终验收情况与年度绩效目标对比、预算资金执行情况等相关因素进行比较。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（2）因素分析法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绩效评价标准通常包括计划标准、行业标准、历史标准等，用于对绩效指标完成情况进行比较、分析、评价。本次评价主要采用了历史标准。</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对办公场所租赁及业务运行费项目进行客观评价，最终评分结果：总得分为 98.41分，属于“优”。其中，项目决策类指标权重为20分，得分为20分，得分率为100%。项目过程类指标权重为20分，得分为19.08分，得分率为95.40%。项目产出类指标权重为40分，得分为39.33分，得分率为98.33%。项目效益类指标权重为20分，得分为20分，得分率为100%。</w:t>
      </w:r>
    </w:p>
    <w:p>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tbl>
      <w:tblPr>
        <w:tblStyle w:val="23"/>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bookmarkStart w:id="0" w:name="OLE_LINK1"/>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rFonts w:hint="default" w:eastAsia="宋体"/>
                <w:color w:val="000000"/>
                <w:kern w:val="0"/>
                <w:sz w:val="22"/>
                <w:szCs w:val="22"/>
                <w:highlight w:val="yellow"/>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yellow"/>
                <w:lang w:val="en-US" w:eastAsia="zh-CN" w:bidi="ar-SA"/>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yellow"/>
                <w:lang w:val="en-US" w:eastAsia="zh-CN" w:bidi="ar-SA"/>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yellow"/>
                <w:lang w:val="en-US" w:eastAsia="zh-CN" w:bidi="ar-SA"/>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yellow"/>
                <w:lang w:val="en-US" w:eastAsia="zh-CN" w:bidi="ar-SA"/>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yellow"/>
                <w:lang w:val="en-US" w:eastAsia="zh-CN" w:bidi="ar-SA"/>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77.07%</w:t>
            </w:r>
          </w:p>
        </w:tc>
        <w:tc>
          <w:tcPr>
            <w:tcW w:w="1215"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77.07%</w:t>
            </w:r>
          </w:p>
        </w:tc>
        <w:tc>
          <w:tcPr>
            <w:tcW w:w="960"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highlight w:val="none"/>
                <w:lang w:val="en-US" w:eastAsia="zh-CN"/>
              </w:rPr>
              <w:t>3.08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93.34</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93.34%</w:t>
            </w:r>
          </w:p>
        </w:tc>
        <w:tc>
          <w:tcPr>
            <w:tcW w:w="960"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highlight w:val="none"/>
                <w:lang w:val="en-US" w:eastAsia="zh-CN"/>
              </w:rPr>
              <w:t>9.33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yellow"/>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rPr>
              <w:t>1</w:t>
            </w:r>
            <w:r>
              <w:rPr>
                <w:rFonts w:hint="eastAsia"/>
                <w:color w:val="000000"/>
                <w:kern w:val="0"/>
                <w:sz w:val="22"/>
                <w:szCs w:val="22"/>
                <w:lang w:val="en-US" w:eastAsia="zh-CN"/>
              </w:rPr>
              <w:t>0</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924"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90</w:t>
            </w:r>
            <w:r>
              <w:rPr>
                <w:color w:val="000000"/>
                <w:kern w:val="0"/>
                <w:sz w:val="22"/>
                <w:szCs w:val="22"/>
                <w:highlight w:val="none"/>
              </w:rPr>
              <w:t>%</w:t>
            </w: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r>
      <w:bookmarkEnd w:id="0"/>
    </w:tbl>
    <w:p>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eastAsia="黑体"/>
          <w:sz w:val="32"/>
          <w:szCs w:val="32"/>
        </w:rPr>
      </w:pPr>
      <w:r>
        <w:rPr>
          <w:rFonts w:eastAsia="黑体"/>
          <w:sz w:val="32"/>
          <w:szCs w:val="32"/>
        </w:rPr>
        <w:t>四、绩效评价指标分析</w:t>
      </w:r>
    </w:p>
    <w:p>
      <w:pPr>
        <w:pStyle w:val="2"/>
        <w:keepNext w:val="0"/>
        <w:keepLines w:val="0"/>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项目立项符合法律法规、相关政策、行业发展规划及部门职责，能反映和考核项目立项依据情况，属于公共财产支持范围，严格遵守中央、地方事权支出责任划分范围原则；项目申请、设立过程符合相关要求，严格按照审批流程准备符合要求的文件、材料；事前已经过必要的可行性研究、绩效评估、集体决策，以上能反映和考核项目立项程序的规范情况；年初结合实际工作内容设定绩效目标，绩效目标依据充分，符合客观实际，能反映和考核项目绩效目标与项目实施的相符情况，依据绩效目标设定的绩效指标清晰、细化、可衡量，能反映和考核项目绩效目标的明细化情况。资金分配额度合理，与单位项目情况相适应。</w:t>
      </w:r>
    </w:p>
    <w:p>
      <w:pPr>
        <w:pStyle w:val="2"/>
        <w:keepNext w:val="0"/>
        <w:keepLines w:val="0"/>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本项目预算资金15万元，实际到位资金15万元，实际支出资金11.56万元，资金到位率为100%，预算执行率为77.07%。</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资金拨付依照完整的审批程序和手续执行；本项目实施过程中严格遵守相关法律法规和相关管理规定，杜绝截留、挤占、挪用、虚列支出等情况发生。</w:t>
      </w:r>
    </w:p>
    <w:p>
      <w:pPr>
        <w:pStyle w:val="2"/>
        <w:keepNext w:val="0"/>
        <w:keepLines w:val="0"/>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数量指标方面：</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8"/>
          <w:sz w:val="32"/>
          <w:szCs w:val="32"/>
          <w:lang w:val="en-US" w:eastAsia="zh-CN" w:bidi="ar-SA"/>
        </w:rPr>
        <w:t>1</w:t>
      </w:r>
      <w:r>
        <w:rPr>
          <w:rFonts w:hint="eastAsia" w:ascii="仿宋_GB2312" w:hAnsi="仿宋_GB2312" w:eastAsia="仿宋_GB2312" w:cs="仿宋_GB2312"/>
          <w:b w:val="0"/>
          <w:bCs w:val="0"/>
          <w:kern w:val="2"/>
          <w:sz w:val="32"/>
          <w:szCs w:val="32"/>
          <w:highlight w:val="none"/>
          <w:lang w:val="en-US" w:eastAsia="zh-CN" w:bidi="ar-SA"/>
        </w:rPr>
        <w:t>：地下室租赁面积指标，指标值：≥</w:t>
      </w:r>
      <w:r>
        <w:rPr>
          <w:rFonts w:hint="eastAsia" w:ascii="Times New Roman" w:hAnsi="Times New Roman" w:eastAsia="仿宋_GB2312" w:cs="Times New Roman"/>
          <w:b w:val="0"/>
          <w:bCs w:val="0"/>
          <w:kern w:val="28"/>
          <w:sz w:val="32"/>
          <w:szCs w:val="32"/>
          <w:lang w:val="en-US" w:eastAsia="zh-CN" w:bidi="ar-SA"/>
        </w:rPr>
        <w:t>20</w:t>
      </w:r>
      <w:r>
        <w:rPr>
          <w:rFonts w:hint="eastAsia" w:ascii="仿宋_GB2312" w:hAnsi="仿宋_GB2312" w:eastAsia="仿宋_GB2312" w:cs="仿宋_GB2312"/>
          <w:b w:val="0"/>
          <w:bCs w:val="0"/>
          <w:kern w:val="2"/>
          <w:sz w:val="32"/>
          <w:szCs w:val="32"/>
          <w:highlight w:val="none"/>
          <w:lang w:val="en-US" w:eastAsia="zh-CN" w:bidi="ar-SA"/>
        </w:rPr>
        <w:t>㎡，实际完成值：</w:t>
      </w:r>
      <w:r>
        <w:rPr>
          <w:rFonts w:hint="eastAsia" w:ascii="Times New Roman" w:hAnsi="Times New Roman" w:eastAsia="仿宋_GB2312" w:cs="Times New Roman"/>
          <w:b w:val="0"/>
          <w:bCs w:val="0"/>
          <w:kern w:val="28"/>
          <w:sz w:val="32"/>
          <w:szCs w:val="32"/>
          <w:lang w:val="en-US" w:eastAsia="zh-CN" w:bidi="ar-SA"/>
        </w:rPr>
        <w:t>20</w:t>
      </w:r>
      <w:r>
        <w:rPr>
          <w:rFonts w:hint="eastAsia" w:ascii="仿宋_GB2312" w:hAnsi="仿宋_GB2312" w:eastAsia="仿宋_GB2312" w:cs="仿宋_GB2312"/>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8"/>
          <w:sz w:val="32"/>
          <w:szCs w:val="32"/>
          <w:lang w:val="en-US" w:eastAsia="zh-CN" w:bidi="ar-SA"/>
        </w:rPr>
        <w:t>100</w:t>
      </w:r>
      <w:r>
        <w:rPr>
          <w:rFonts w:hint="eastAsia" w:ascii="仿宋_GB2312" w:hAnsi="仿宋_GB2312" w:eastAsia="仿宋_GB2312" w:cs="仿宋_GB2312"/>
          <w:b w:val="0"/>
          <w:bCs w:val="0"/>
          <w:kern w:val="2"/>
          <w:sz w:val="32"/>
          <w:szCs w:val="32"/>
          <w:highlight w:val="none"/>
          <w:lang w:val="en-US" w:eastAsia="zh-CN" w:bidi="ar-SA"/>
        </w:rPr>
        <w:t>%。</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8"/>
          <w:sz w:val="32"/>
          <w:szCs w:val="32"/>
          <w:lang w:val="en-US" w:eastAsia="zh-CN" w:bidi="ar-SA"/>
        </w:rPr>
        <w:t>2</w:t>
      </w:r>
      <w:r>
        <w:rPr>
          <w:rFonts w:hint="eastAsia" w:ascii="仿宋_GB2312" w:hAnsi="仿宋_GB2312" w:eastAsia="仿宋_GB2312" w:cs="仿宋_GB2312"/>
          <w:b w:val="0"/>
          <w:bCs w:val="0"/>
          <w:kern w:val="2"/>
          <w:sz w:val="32"/>
          <w:szCs w:val="32"/>
          <w:highlight w:val="none"/>
          <w:lang w:val="en-US" w:eastAsia="zh-CN" w:bidi="ar-SA"/>
        </w:rPr>
        <w:t>：人员办公人数指标，指标值:＝</w:t>
      </w:r>
      <w:r>
        <w:rPr>
          <w:rFonts w:hint="eastAsia" w:ascii="Times New Roman" w:hAnsi="Times New Roman" w:eastAsia="仿宋_GB2312" w:cs="Times New Roman"/>
          <w:b w:val="0"/>
          <w:bCs w:val="0"/>
          <w:kern w:val="28"/>
          <w:sz w:val="32"/>
          <w:szCs w:val="32"/>
          <w:lang w:val="en-US" w:eastAsia="zh-CN" w:bidi="ar-SA"/>
        </w:rPr>
        <w:t>15</w:t>
      </w:r>
      <w:r>
        <w:rPr>
          <w:rFonts w:hint="eastAsia" w:ascii="仿宋_GB2312" w:hAnsi="仿宋_GB2312" w:eastAsia="仿宋_GB2312" w:cs="仿宋_GB2312"/>
          <w:b w:val="0"/>
          <w:bCs w:val="0"/>
          <w:kern w:val="2"/>
          <w:sz w:val="32"/>
          <w:szCs w:val="32"/>
          <w:highlight w:val="none"/>
          <w:lang w:val="en-US" w:eastAsia="zh-CN" w:bidi="ar-SA"/>
        </w:rPr>
        <w:t>人，实际完成值</w:t>
      </w:r>
      <w:r>
        <w:rPr>
          <w:rFonts w:hint="eastAsia" w:ascii="Times New Roman" w:hAnsi="Times New Roman" w:eastAsia="仿宋_GB2312" w:cs="Times New Roman"/>
          <w:b w:val="0"/>
          <w:bCs w:val="0"/>
          <w:kern w:val="28"/>
          <w:sz w:val="32"/>
          <w:szCs w:val="32"/>
          <w:lang w:val="en-US" w:eastAsia="zh-CN" w:bidi="ar-SA"/>
        </w:rPr>
        <w:t>：14</w:t>
      </w:r>
      <w:r>
        <w:rPr>
          <w:rFonts w:hint="eastAsia" w:ascii="仿宋_GB2312" w:hAnsi="仿宋_GB2312" w:eastAsia="仿宋_GB2312" w:cs="仿宋_GB2312"/>
          <w:b w:val="0"/>
          <w:bCs w:val="0"/>
          <w:kern w:val="2"/>
          <w:sz w:val="32"/>
          <w:szCs w:val="32"/>
          <w:highlight w:val="none"/>
          <w:lang w:val="en-US" w:eastAsia="zh-CN" w:bidi="ar-SA"/>
        </w:rPr>
        <w:t>人，指标完成率</w:t>
      </w:r>
      <w:r>
        <w:rPr>
          <w:rFonts w:hint="eastAsia" w:ascii="Times New Roman" w:hAnsi="Times New Roman" w:eastAsia="仿宋_GB2312" w:cs="Times New Roman"/>
          <w:b w:val="0"/>
          <w:bCs w:val="0"/>
          <w:kern w:val="28"/>
          <w:sz w:val="32"/>
          <w:szCs w:val="32"/>
          <w:lang w:val="en-US" w:eastAsia="zh-CN" w:bidi="ar-SA"/>
        </w:rPr>
        <w:t>93.34</w:t>
      </w:r>
      <w:r>
        <w:rPr>
          <w:rFonts w:hint="eastAsia" w:ascii="仿宋_GB2312" w:hAnsi="仿宋_GB2312" w:eastAsia="仿宋_GB2312" w:cs="仿宋_GB2312"/>
          <w:b w:val="0"/>
          <w:bCs w:val="0"/>
          <w:kern w:val="2"/>
          <w:sz w:val="32"/>
          <w:szCs w:val="32"/>
          <w:highlight w:val="none"/>
          <w:lang w:val="en-US" w:eastAsia="zh-CN" w:bidi="ar-SA"/>
        </w:rPr>
        <w:t>%。偏差原因：离职人员增加</w:t>
      </w:r>
      <w:r>
        <w:rPr>
          <w:rFonts w:hint="eastAsia" w:ascii="Times New Roman" w:hAnsi="Times New Roman" w:eastAsia="仿宋_GB2312" w:cs="Times New Roman"/>
          <w:b w:val="0"/>
          <w:bCs w:val="0"/>
          <w:kern w:val="28"/>
          <w:sz w:val="30"/>
          <w:szCs w:val="30"/>
          <w:lang w:val="en-US" w:eastAsia="zh-CN" w:bidi="ar-SA"/>
        </w:rPr>
        <w:t>1</w:t>
      </w:r>
      <w:r>
        <w:rPr>
          <w:rFonts w:hint="eastAsia" w:ascii="仿宋_GB2312" w:hAnsi="仿宋_GB2312" w:eastAsia="仿宋_GB2312" w:cs="仿宋_GB2312"/>
          <w:b w:val="0"/>
          <w:bCs w:val="0"/>
          <w:kern w:val="2"/>
          <w:sz w:val="32"/>
          <w:szCs w:val="32"/>
          <w:highlight w:val="none"/>
          <w:lang w:val="en-US" w:eastAsia="zh-CN" w:bidi="ar-SA"/>
        </w:rPr>
        <w:t>人。</w:t>
      </w:r>
    </w:p>
    <w:p>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Style w:val="51"/>
          <w:rFonts w:ascii="Times New Roman" w:hAnsi="Times New Roman" w:cs="Times New Roman"/>
          <w:b w:val="0"/>
          <w:bCs w:val="0"/>
          <w:color w:val="auto"/>
        </w:rPr>
      </w:pPr>
      <w:r>
        <w:rPr>
          <w:rFonts w:hint="eastAsia" w:ascii="仿宋_GB2312" w:hAnsi="仿宋_GB2312" w:eastAsia="仿宋_GB2312" w:cs="仿宋_GB2312"/>
          <w:b/>
          <w:bCs/>
          <w:kern w:val="2"/>
          <w:sz w:val="32"/>
          <w:szCs w:val="32"/>
          <w:highlight w:val="none"/>
          <w:lang w:val="en-US" w:eastAsia="zh-CN" w:bidi="ar-SA"/>
        </w:rPr>
        <w:t>时效指标方面：</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8"/>
          <w:sz w:val="32"/>
          <w:szCs w:val="32"/>
          <w:lang w:val="en-US" w:eastAsia="zh-CN" w:bidi="ar-SA"/>
        </w:rPr>
        <w:t>1</w:t>
      </w:r>
      <w:r>
        <w:rPr>
          <w:rFonts w:hint="eastAsia" w:ascii="仿宋_GB2312" w:hAnsi="仿宋_GB2312" w:eastAsia="仿宋_GB2312" w:cs="仿宋_GB2312"/>
          <w:b w:val="0"/>
          <w:bCs w:val="0"/>
          <w:kern w:val="2"/>
          <w:sz w:val="32"/>
          <w:szCs w:val="32"/>
          <w:highlight w:val="none"/>
          <w:lang w:val="en-US" w:eastAsia="zh-CN" w:bidi="ar-SA"/>
        </w:rPr>
        <w:t>：</w:t>
      </w:r>
      <w:r>
        <w:rPr>
          <w:rStyle w:val="51"/>
          <w:rFonts w:hint="eastAsia" w:ascii="Times New Roman" w:hAnsi="Times New Roman" w:cs="Times New Roman"/>
          <w:b w:val="0"/>
          <w:bCs w:val="0"/>
          <w:color w:val="auto"/>
          <w:lang w:val="en-US" w:eastAsia="zh-CN"/>
        </w:rPr>
        <w:t>公用经费支付及时率指标，指标值：=100%，实际完成值：100%，指标完成率100%。</w:t>
      </w:r>
    </w:p>
    <w:p>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成本指标方面：</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pPr>
      <w:r>
        <w:rPr>
          <w:rFonts w:hint="eastAsia" w:ascii="仿宋_GB2312" w:hAnsi="仿宋_GB2312" w:eastAsia="仿宋_GB2312" w:cs="仿宋_GB2312"/>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8"/>
          <w:sz w:val="32"/>
          <w:szCs w:val="32"/>
          <w:lang w:val="en-US" w:eastAsia="zh-CN" w:bidi="ar-SA"/>
        </w:rPr>
        <w:t>1</w:t>
      </w:r>
      <w:r>
        <w:rPr>
          <w:rFonts w:hint="eastAsia" w:ascii="仿宋_GB2312" w:hAnsi="仿宋_GB2312" w:eastAsia="仿宋_GB2312" w:cs="仿宋_GB2312"/>
          <w:b w:val="0"/>
          <w:bCs w:val="0"/>
          <w:kern w:val="2"/>
          <w:sz w:val="32"/>
          <w:szCs w:val="32"/>
          <w:highlight w:val="none"/>
          <w:lang w:val="en-US" w:eastAsia="zh-CN" w:bidi="ar-SA"/>
        </w:rPr>
        <w:t>：</w:t>
      </w:r>
      <w:r>
        <w:rPr>
          <w:rStyle w:val="51"/>
          <w:rFonts w:hint="eastAsia" w:ascii="Times New Roman" w:hAnsi="Times New Roman" w:eastAsia="仿宋_GB2312" w:cs="Times New Roman"/>
          <w:b w:val="0"/>
          <w:bCs w:val="0"/>
          <w:color w:val="auto"/>
          <w:lang w:eastAsia="zh-CN"/>
        </w:rPr>
        <w:t>人均运转经费指标，指标值：＝</w:t>
      </w:r>
      <w:r>
        <w:rPr>
          <w:rFonts w:hint="eastAsia" w:ascii="Times New Roman" w:hAnsi="Times New Roman" w:eastAsia="仿宋_GB2312" w:cs="Times New Roman"/>
          <w:b w:val="0"/>
          <w:bCs w:val="0"/>
          <w:kern w:val="28"/>
          <w:sz w:val="32"/>
          <w:szCs w:val="32"/>
          <w:highlight w:val="none"/>
          <w:lang w:val="en-US" w:eastAsia="zh-CN" w:bidi="ar-SA"/>
        </w:rPr>
        <w:t>1</w:t>
      </w:r>
      <w:r>
        <w:rPr>
          <w:rStyle w:val="51"/>
          <w:rFonts w:hint="eastAsia" w:ascii="Times New Roman" w:hAnsi="Times New Roman" w:eastAsia="仿宋_GB2312" w:cs="Times New Roman"/>
          <w:b w:val="0"/>
          <w:bCs w:val="0"/>
          <w:color w:val="auto"/>
          <w:lang w:val="en-US" w:eastAsia="zh-CN"/>
        </w:rPr>
        <w:t>万，实际完成值：0.83万，指标完成率83%。偏差原因：离职人员增加1人，因疫情原因调研减少。</w:t>
      </w:r>
    </w:p>
    <w:p>
      <w:pPr>
        <w:pStyle w:val="2"/>
        <w:keepNext w:val="0"/>
        <w:keepLines w:val="0"/>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rPr>
      </w:pPr>
      <w:r>
        <w:rPr>
          <w:rFonts w:hint="eastAsia" w:ascii="Times New Roman" w:hAnsi="Times New Roman" w:eastAsia="楷体_GB2312"/>
        </w:rPr>
        <w:t>（四）</w:t>
      </w:r>
      <w:r>
        <w:rPr>
          <w:rFonts w:ascii="Times New Roman" w:hAnsi="Times New Roman" w:eastAsia="楷体_GB2312"/>
        </w:rPr>
        <w:t>效益情况</w:t>
      </w:r>
    </w:p>
    <w:p>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社会效益指标方面：</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Style w:val="51"/>
          <w:rFonts w:hint="eastAsia" w:ascii="Times New Roman" w:hAnsi="Times New Roman" w:cs="Times New Roman"/>
          <w:b w:val="0"/>
          <w:bCs w:val="0"/>
          <w:color w:val="auto"/>
          <w:lang w:val="en-US" w:eastAsia="zh-CN"/>
        </w:rPr>
        <w:t>1</w:t>
      </w:r>
      <w:r>
        <w:rPr>
          <w:rFonts w:hint="eastAsia" w:ascii="仿宋_GB2312" w:hAnsi="仿宋_GB2312" w:eastAsia="仿宋_GB2312" w:cs="仿宋_GB2312"/>
          <w:b w:val="0"/>
          <w:bCs w:val="0"/>
          <w:kern w:val="2"/>
          <w:sz w:val="32"/>
          <w:szCs w:val="32"/>
          <w:highlight w:val="none"/>
          <w:lang w:val="en-US" w:eastAsia="zh-CN" w:bidi="ar-SA"/>
        </w:rPr>
        <w:t>：保障正常开展办公业务指标，指标值:≥</w:t>
      </w:r>
      <w:r>
        <w:rPr>
          <w:rStyle w:val="51"/>
          <w:rFonts w:hint="eastAsia" w:ascii="Times New Roman" w:hAnsi="Times New Roman" w:cs="Times New Roman"/>
          <w:b w:val="0"/>
          <w:bCs w:val="0"/>
          <w:color w:val="auto"/>
          <w:lang w:val="en-US" w:eastAsia="zh-CN"/>
        </w:rPr>
        <w:t>90</w:t>
      </w:r>
      <w:r>
        <w:rPr>
          <w:rFonts w:hint="eastAsia" w:ascii="仿宋_GB2312" w:hAnsi="仿宋_GB2312" w:eastAsia="仿宋_GB2312" w:cs="仿宋_GB2312"/>
          <w:b w:val="0"/>
          <w:bCs w:val="0"/>
          <w:kern w:val="2"/>
          <w:sz w:val="32"/>
          <w:szCs w:val="32"/>
          <w:highlight w:val="none"/>
          <w:lang w:val="en-US" w:eastAsia="zh-CN" w:bidi="ar-SA"/>
        </w:rPr>
        <w:t>%，实际完成值：</w:t>
      </w:r>
      <w:r>
        <w:rPr>
          <w:rStyle w:val="51"/>
          <w:rFonts w:hint="eastAsia" w:ascii="Times New Roman" w:hAnsi="Times New Roman" w:cs="Times New Roman"/>
          <w:b w:val="0"/>
          <w:bCs w:val="0"/>
          <w:color w:val="auto"/>
          <w:lang w:val="en-US" w:eastAsia="zh-CN"/>
        </w:rPr>
        <w:t>89</w:t>
      </w:r>
      <w:r>
        <w:rPr>
          <w:rFonts w:hint="eastAsia" w:ascii="仿宋_GB2312" w:hAnsi="仿宋_GB2312" w:eastAsia="仿宋_GB2312" w:cs="仿宋_GB2312"/>
          <w:b w:val="0"/>
          <w:bCs w:val="0"/>
          <w:kern w:val="2"/>
          <w:sz w:val="32"/>
          <w:szCs w:val="32"/>
          <w:highlight w:val="none"/>
          <w:lang w:val="en-US" w:eastAsia="zh-CN" w:bidi="ar-SA"/>
        </w:rPr>
        <w:t>%，指标完成率</w:t>
      </w:r>
      <w:r>
        <w:rPr>
          <w:rStyle w:val="51"/>
          <w:rFonts w:hint="eastAsia" w:ascii="Times New Roman" w:hAnsi="Times New Roman" w:cs="Times New Roman"/>
          <w:b w:val="0"/>
          <w:bCs w:val="0"/>
          <w:color w:val="auto"/>
          <w:lang w:val="en-US" w:eastAsia="zh-CN"/>
        </w:rPr>
        <w:t>98.89</w:t>
      </w:r>
      <w:r>
        <w:rPr>
          <w:rFonts w:hint="eastAsia" w:ascii="仿宋_GB2312" w:hAnsi="仿宋_GB2312" w:eastAsia="仿宋_GB2312" w:cs="仿宋_GB2312"/>
          <w:b w:val="0"/>
          <w:bCs w:val="0"/>
          <w:kern w:val="2"/>
          <w:sz w:val="32"/>
          <w:szCs w:val="32"/>
          <w:highlight w:val="none"/>
          <w:lang w:val="en-US" w:eastAsia="zh-CN" w:bidi="ar-SA"/>
        </w:rPr>
        <w:t>%。偏差原因：因疫情原因调研减少。</w:t>
      </w:r>
    </w:p>
    <w:p>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满意度指标方面：</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8"/>
          <w:sz w:val="32"/>
          <w:szCs w:val="32"/>
          <w:lang w:val="en-US" w:eastAsia="zh-CN" w:bidi="ar-SA"/>
        </w:rPr>
        <w:t>1</w:t>
      </w:r>
      <w:r>
        <w:rPr>
          <w:rFonts w:hint="eastAsia" w:ascii="仿宋_GB2312" w:hAnsi="仿宋_GB2312" w:eastAsia="仿宋_GB2312" w:cs="仿宋_GB2312"/>
          <w:b w:val="0"/>
          <w:bCs w:val="0"/>
          <w:kern w:val="2"/>
          <w:sz w:val="32"/>
          <w:szCs w:val="32"/>
          <w:highlight w:val="none"/>
          <w:lang w:val="en-US" w:eastAsia="zh-CN" w:bidi="ar-SA"/>
        </w:rPr>
        <w:t>：出租方满意度指标，指标值：=</w:t>
      </w:r>
      <w:r>
        <w:rPr>
          <w:rStyle w:val="51"/>
          <w:rFonts w:hint="eastAsia" w:ascii="Times New Roman" w:hAnsi="Times New Roman" w:cs="Times New Roman"/>
          <w:b w:val="0"/>
          <w:bCs w:val="0"/>
          <w:color w:val="auto"/>
          <w:lang w:val="en-US" w:eastAsia="zh-CN"/>
        </w:rPr>
        <w:t>100</w:t>
      </w:r>
      <w:r>
        <w:rPr>
          <w:rFonts w:hint="eastAsia" w:ascii="仿宋_GB2312" w:hAnsi="仿宋_GB2312" w:eastAsia="仿宋_GB2312" w:cs="仿宋_GB2312"/>
          <w:b w:val="0"/>
          <w:bCs w:val="0"/>
          <w:kern w:val="2"/>
          <w:sz w:val="32"/>
          <w:szCs w:val="32"/>
          <w:highlight w:val="none"/>
          <w:lang w:val="en-US" w:eastAsia="zh-CN" w:bidi="ar-SA"/>
        </w:rPr>
        <w:t>%，实际完成值：</w:t>
      </w:r>
      <w:r>
        <w:rPr>
          <w:rStyle w:val="51"/>
          <w:rFonts w:hint="eastAsia" w:ascii="Times New Roman" w:hAnsi="Times New Roman" w:cs="Times New Roman"/>
          <w:b w:val="0"/>
          <w:bCs w:val="0"/>
          <w:color w:val="auto"/>
          <w:lang w:val="en-US" w:eastAsia="zh-CN"/>
        </w:rPr>
        <w:t>100</w:t>
      </w:r>
      <w:r>
        <w:rPr>
          <w:rFonts w:hint="eastAsia" w:ascii="仿宋_GB2312" w:hAnsi="仿宋_GB2312" w:eastAsia="仿宋_GB2312" w:cs="仿宋_GB2312"/>
          <w:b w:val="0"/>
          <w:bCs w:val="0"/>
          <w:kern w:val="2"/>
          <w:sz w:val="32"/>
          <w:szCs w:val="32"/>
          <w:highlight w:val="none"/>
          <w:lang w:val="en-US" w:eastAsia="zh-CN" w:bidi="ar-SA"/>
        </w:rPr>
        <w:t>%，指标完成率</w:t>
      </w:r>
      <w:r>
        <w:rPr>
          <w:rStyle w:val="51"/>
          <w:rFonts w:hint="eastAsia" w:ascii="Times New Roman" w:hAnsi="Times New Roman" w:cs="Times New Roman"/>
          <w:b w:val="0"/>
          <w:bCs w:val="0"/>
          <w:color w:val="auto"/>
          <w:lang w:val="en-US" w:eastAsia="zh-CN"/>
        </w:rPr>
        <w:t>100</w:t>
      </w:r>
      <w:r>
        <w:rPr>
          <w:rFonts w:hint="eastAsia" w:ascii="仿宋_GB2312" w:hAnsi="仿宋_GB2312" w:eastAsia="仿宋_GB2312" w:cs="仿宋_GB2312"/>
          <w:b w:val="0"/>
          <w:bCs w:val="0"/>
          <w:kern w:val="2"/>
          <w:sz w:val="32"/>
          <w:szCs w:val="32"/>
          <w:highlight w:val="none"/>
          <w:lang w:val="en-US" w:eastAsia="zh-CN" w:bidi="ar-SA"/>
        </w:rPr>
        <w:t>%。</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Style w:val="51"/>
          <w:rFonts w:hint="eastAsia" w:ascii="Times New Roman" w:hAnsi="Times New Roman" w:cs="Times New Roman"/>
          <w:b w:val="0"/>
          <w:bCs w:val="0"/>
          <w:color w:val="auto"/>
          <w:lang w:val="en-US" w:eastAsia="zh-CN"/>
        </w:rPr>
        <w:t>2</w:t>
      </w:r>
      <w:r>
        <w:rPr>
          <w:rFonts w:hint="eastAsia" w:ascii="仿宋_GB2312" w:hAnsi="仿宋_GB2312" w:eastAsia="仿宋_GB2312" w:cs="仿宋_GB2312"/>
          <w:b w:val="0"/>
          <w:bCs w:val="0"/>
          <w:kern w:val="2"/>
          <w:sz w:val="32"/>
          <w:szCs w:val="32"/>
          <w:highlight w:val="none"/>
          <w:lang w:val="en-US" w:eastAsia="zh-CN" w:bidi="ar-SA"/>
        </w:rPr>
        <w:t>：工作人员满意度指标，指标值：</w:t>
      </w:r>
      <w:r>
        <w:rPr>
          <w:rStyle w:val="51"/>
          <w:rFonts w:hint="eastAsia" w:ascii="Times New Roman" w:hAnsi="Times New Roman" w:cs="Times New Roman"/>
          <w:b w:val="0"/>
          <w:bCs w:val="0"/>
          <w:color w:val="auto"/>
          <w:lang w:val="en-US" w:eastAsia="zh-CN"/>
        </w:rPr>
        <w:t>≥90</w:t>
      </w:r>
      <w:r>
        <w:rPr>
          <w:rFonts w:hint="eastAsia" w:ascii="仿宋_GB2312" w:hAnsi="仿宋_GB2312" w:eastAsia="仿宋_GB2312" w:cs="仿宋_GB2312"/>
          <w:b w:val="0"/>
          <w:bCs w:val="0"/>
          <w:kern w:val="2"/>
          <w:sz w:val="32"/>
          <w:szCs w:val="32"/>
          <w:highlight w:val="none"/>
          <w:lang w:val="en-US" w:eastAsia="zh-CN" w:bidi="ar-SA"/>
        </w:rPr>
        <w:t>%，实际完成值：</w:t>
      </w:r>
      <w:r>
        <w:rPr>
          <w:rStyle w:val="51"/>
          <w:rFonts w:hint="eastAsia" w:ascii="Times New Roman" w:hAnsi="Times New Roman" w:cs="Times New Roman"/>
          <w:b w:val="0"/>
          <w:bCs w:val="0"/>
          <w:color w:val="auto"/>
          <w:lang w:val="en-US" w:eastAsia="zh-CN"/>
        </w:rPr>
        <w:t>90</w:t>
      </w:r>
      <w:r>
        <w:rPr>
          <w:rFonts w:hint="eastAsia" w:ascii="仿宋_GB2312" w:hAnsi="仿宋_GB2312" w:eastAsia="仿宋_GB2312" w:cs="仿宋_GB2312"/>
          <w:b w:val="0"/>
          <w:bCs w:val="0"/>
          <w:kern w:val="2"/>
          <w:sz w:val="32"/>
          <w:szCs w:val="32"/>
          <w:highlight w:val="none"/>
          <w:lang w:val="en-US" w:eastAsia="zh-CN" w:bidi="ar-SA"/>
        </w:rPr>
        <w:t>%，指标完成率</w:t>
      </w:r>
      <w:r>
        <w:rPr>
          <w:rStyle w:val="51"/>
          <w:rFonts w:hint="eastAsia" w:ascii="Times New Roman" w:hAnsi="Times New Roman" w:cs="Times New Roman"/>
          <w:b w:val="0"/>
          <w:bCs w:val="0"/>
          <w:color w:val="auto"/>
          <w:lang w:val="en-US" w:eastAsia="zh-CN"/>
        </w:rPr>
        <w:t>100</w:t>
      </w:r>
      <w:r>
        <w:rPr>
          <w:rFonts w:hint="eastAsia" w:ascii="仿宋_GB2312" w:hAnsi="仿宋_GB2312" w:eastAsia="仿宋_GB2312" w:cs="仿宋_GB2312"/>
          <w:b w:val="0"/>
          <w:bCs w:val="0"/>
          <w:kern w:val="2"/>
          <w:sz w:val="32"/>
          <w:szCs w:val="32"/>
          <w:highlight w:val="none"/>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eastAsia="黑体"/>
          <w:sz w:val="32"/>
          <w:szCs w:val="32"/>
        </w:rPr>
      </w:pPr>
      <w:r>
        <w:rPr>
          <w:rFonts w:hint="eastAsia" w:eastAsia="黑体"/>
          <w:sz w:val="32"/>
          <w:szCs w:val="32"/>
        </w:rPr>
        <w:t>五、预算执行进度与绩效指标总体完成率偏差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办公场所租赁及业务运行费项目年初预算15万元，全年预算15万元，实际支出11.56万元，预算执行率为77.07%，项目绩效指标总体完成率为96.46%，总体偏差率为19.39%,偏差原因：离职人员增加1人，因疫情原因调研减少。改进措施：加强对部门人员的培训工作，对项目进行专门研究讨论及总结，提高预算内容完整性，绩效目标准确性，对项目资金严格把控，合理支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1"/>
          <w:rFonts w:ascii="Times New Roman" w:hAnsi="Times New Roman" w:cs="Times New Roman"/>
          <w:color w:val="auto"/>
        </w:rPr>
      </w:pPr>
      <w:r>
        <w:rPr>
          <w:rFonts w:hint="eastAsia" w:eastAsia="黑体"/>
          <w:sz w:val="32"/>
          <w:szCs w:val="32"/>
          <w:lang w:eastAsia="zh-CN"/>
        </w:rPr>
        <w:t>六</w:t>
      </w:r>
      <w:r>
        <w:rPr>
          <w:rFonts w:eastAsia="黑体"/>
          <w:sz w:val="32"/>
          <w:szCs w:val="32"/>
        </w:rPr>
        <w:t>、主要经验及做法、存在的问题及原因分析</w:t>
      </w:r>
    </w:p>
    <w:p>
      <w:pPr>
        <w:pageBreakBefore w:val="0"/>
        <w:widowControl w:val="0"/>
        <w:kinsoku/>
        <w:wordWrap/>
        <w:overflowPunct/>
        <w:topLinePunct w:val="0"/>
        <w:autoSpaceDE/>
        <w:autoSpaceDN/>
        <w:bidi w:val="0"/>
        <w:adjustRightInd/>
        <w:snapToGrid/>
        <w:spacing w:line="560" w:lineRule="exact"/>
        <w:ind w:firstLine="627" w:firstLineChars="200"/>
        <w:textAlignment w:val="auto"/>
        <w:rPr>
          <w:rFonts w:eastAsia="楷体"/>
          <w:b/>
          <w:spacing w:val="-4"/>
          <w:sz w:val="32"/>
          <w:szCs w:val="32"/>
        </w:rPr>
      </w:pPr>
      <w:r>
        <w:rPr>
          <w:rFonts w:eastAsia="楷体"/>
          <w:b/>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定期核对收入，加强对可使用资金的准确把握；规范项目资金管理，严把资金支出审核关；三是规范资金用途，坚决按照实际用途列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严格按照《新疆维吾尔自治区司法鉴定科学技术研究所报账制度》、《新疆维吾尔自治区司法鉴定科学技术研究所资金支出办法》等相关制度及办法进行报告支出。项目资金支出先由需使用部门依据使用用途出具资金使用报告，注明资金具体使用用途、金额，物品明细及验收等齐全，逐级批示后使用。对项目进行专门研究讨论及总结，提高预算内容完整性，绩效目标准确性，对项目资金严格把控，合理支出。</w:t>
      </w:r>
    </w:p>
    <w:p>
      <w:pPr>
        <w:keepNext/>
        <w:keepLines/>
        <w:pageBreakBefore w:val="0"/>
        <w:widowControl w:val="0"/>
        <w:numPr>
          <w:ilvl w:val="0"/>
          <w:numId w:val="2"/>
        </w:numPr>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存在的问题及原因分析</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本项目2022年度无存在的问题。</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hint="eastAsia" w:eastAsia="黑体"/>
          <w:sz w:val="32"/>
          <w:szCs w:val="32"/>
          <w:lang w:eastAsia="zh-CN"/>
        </w:rPr>
        <w:t>七、</w:t>
      </w:r>
      <w:r>
        <w:rPr>
          <w:rFonts w:eastAsia="黑体"/>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进一步加强对绩效管理工作的组织领导，提高对预算绩效管理工作重要性的认识，总结经验查找问题，抓紧研究制定更全面更完善的绩效评价管理办法。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通过办公场所租赁及业务运行费项目支出，弥补一般预算经费不足，保障研究所正常运转，保证研究所人员经费支出不足部分、办公场所租赁部分，为保障人员经费及工作场所提供保障，日常工作中能够按上级部门要求报送月报、季报等。</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hint="eastAsia" w:eastAsia="黑体"/>
          <w:sz w:val="32"/>
          <w:szCs w:val="32"/>
          <w:lang w:eastAsia="zh-CN"/>
        </w:rPr>
        <w:t>八、</w:t>
      </w:r>
      <w:r>
        <w:rPr>
          <w:rFonts w:eastAsia="黑体"/>
          <w:sz w:val="32"/>
          <w:szCs w:val="32"/>
        </w:rPr>
        <w:t>其他需要说</w:t>
      </w:r>
      <w:bookmarkStart w:id="1" w:name="page8"/>
      <w:bookmarkEnd w:id="1"/>
      <w:r>
        <w:rPr>
          <w:rFonts w:eastAsia="黑体"/>
          <w:sz w:val="32"/>
          <w:szCs w:val="32"/>
        </w:rPr>
        <w:t>明的问题</w:t>
      </w:r>
    </w:p>
    <w:p>
      <w:pPr>
        <w:pStyle w:val="17"/>
        <w:pageBreakBefore w:val="0"/>
        <w:widowControl w:val="0"/>
        <w:kinsoku/>
        <w:wordWrap/>
        <w:overflowPunct/>
        <w:topLinePunct w:val="0"/>
        <w:autoSpaceDE/>
        <w:autoSpaceDN/>
        <w:bidi w:val="0"/>
        <w:adjustRightInd/>
        <w:snapToGrid/>
        <w:spacing w:line="560" w:lineRule="exact"/>
        <w:ind w:firstLine="320" w:firstLineChars="100"/>
        <w:textAlignment w:val="auto"/>
        <w:rPr>
          <w:rFonts w:ascii="Times New Roman" w:hAnsi="Times New Roman" w:eastAsia="方正小标宋简体"/>
          <w:b/>
          <w:kern w:val="0"/>
          <w:sz w:val="32"/>
          <w:szCs w:val="32"/>
          <w:lang w:bidi="ar"/>
        </w:rPr>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sz w:val="32"/>
          <w:szCs w:val="32"/>
        </w:rPr>
        <w:t>本项目无其他需说明的问题。</w:t>
      </w:r>
    </w:p>
    <w:tbl>
      <w:tblPr>
        <w:tblStyle w:val="23"/>
        <w:tblW w:w="8834" w:type="dxa"/>
        <w:tblInd w:w="0" w:type="dxa"/>
        <w:tblLayout w:type="fixed"/>
        <w:tblCellMar>
          <w:top w:w="0" w:type="dxa"/>
          <w:left w:w="0" w:type="dxa"/>
          <w:bottom w:w="0" w:type="dxa"/>
          <w:right w:w="0" w:type="dxa"/>
        </w:tblCellMar>
      </w:tblPr>
      <w:tblGrid>
        <w:gridCol w:w="798"/>
        <w:gridCol w:w="984"/>
        <w:gridCol w:w="1282"/>
        <w:gridCol w:w="2009"/>
        <w:gridCol w:w="660"/>
        <w:gridCol w:w="1141"/>
        <w:gridCol w:w="1960"/>
      </w:tblGrid>
      <w:tr>
        <w:tblPrEx>
          <w:tblLayout w:type="fixed"/>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rPr>
            </w:pPr>
            <w:r>
              <w:rPr>
                <w:kern w:val="0"/>
                <w:sz w:val="22"/>
                <w:szCs w:val="22"/>
                <w:lang w:bidi="ar"/>
              </w:rPr>
              <w:t>（202</w:t>
            </w:r>
            <w:r>
              <w:rPr>
                <w:rFonts w:hint="eastAsia"/>
                <w:kern w:val="0"/>
                <w:sz w:val="22"/>
                <w:szCs w:val="22"/>
                <w:lang w:val="en-US" w:eastAsia="zh-CN" w:bidi="ar"/>
              </w:rPr>
              <w:t>2</w:t>
            </w:r>
            <w:r>
              <w:rPr>
                <w:kern w:val="0"/>
                <w:sz w:val="22"/>
                <w:szCs w:val="22"/>
                <w:lang w:bidi="ar"/>
              </w:rPr>
              <w:t>年度）</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办公场所租赁及业务运行费</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主管部门</w:t>
            </w:r>
          </w:p>
        </w:tc>
        <w:tc>
          <w:tcPr>
            <w:tcW w:w="395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eastAsia="宋体"/>
                <w:sz w:val="18"/>
                <w:szCs w:val="18"/>
                <w:lang w:eastAsia="zh-CN"/>
              </w:rPr>
              <w:t>新疆维吾尔自治区司法鉴定科学技术研究所</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实施单位</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eastAsia="zh-CN"/>
              </w:rPr>
            </w:pPr>
            <w:r>
              <w:rPr>
                <w:rFonts w:hint="eastAsia" w:eastAsia="宋体"/>
                <w:sz w:val="18"/>
                <w:szCs w:val="18"/>
                <w:lang w:eastAsia="zh-CN"/>
              </w:rPr>
              <w:t>新疆维吾尔自治区司法鉴定科学技术研究所</w:t>
            </w:r>
          </w:p>
        </w:tc>
      </w:tr>
      <w:tr>
        <w:tblPrEx>
          <w:tblLayout w:type="fixed"/>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项目资金</w:t>
            </w:r>
          </w:p>
          <w:p>
            <w:pPr>
              <w:widowControl/>
              <w:jc w:val="center"/>
              <w:textAlignment w:val="center"/>
              <w:rPr>
                <w:rFonts w:hint="eastAsia" w:eastAsiaTheme="majorEastAsia"/>
                <w:lang w:eastAsia="zh-CN"/>
              </w:rPr>
            </w:pPr>
            <w:r>
              <w:rPr>
                <w:rFonts w:hint="eastAsia"/>
                <w:kern w:val="0"/>
                <w:sz w:val="18"/>
                <w:szCs w:val="18"/>
                <w:lang w:val="en-US" w:eastAsia="zh-CN" w:bidi="ar"/>
              </w:rPr>
              <w:t>（万元）</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年初预算数</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全年预算数</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全年执行数</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执行率</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kern w:val="0"/>
                <w:sz w:val="18"/>
                <w:szCs w:val="18"/>
                <w:lang w:bidi="ar"/>
              </w:rPr>
              <w:t>年度资金总额</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15.00</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15.00</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11.56</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77.07%</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其中：当年财政拨款</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15.00</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15.00</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lang w:val="en-US" w:eastAsia="zh-CN"/>
              </w:rPr>
              <w:t>11.56</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lang w:val="en-US" w:eastAsia="zh-CN"/>
              </w:rPr>
              <w:t>77.07%</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上年结转资金</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 xml:space="preserve">  其他资金</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w:t>
            </w:r>
            <w:bookmarkStart w:id="2" w:name="_GoBack"/>
            <w:bookmarkEnd w:id="2"/>
          </w:p>
        </w:tc>
      </w:tr>
      <w:tr>
        <w:tblPrEx>
          <w:tblLayout w:type="fixed"/>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年度总体目标</w:t>
            </w:r>
          </w:p>
        </w:tc>
        <w:tc>
          <w:tcPr>
            <w:tcW w:w="493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预期目标</w:t>
            </w:r>
          </w:p>
        </w:tc>
        <w:tc>
          <w:tcPr>
            <w:tcW w:w="310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实际完成情况</w:t>
            </w:r>
          </w:p>
        </w:tc>
      </w:tr>
      <w:tr>
        <w:tblPrEx>
          <w:tblLayout w:type="fixed"/>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493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rFonts w:hint="eastAsia"/>
                <w:kern w:val="0"/>
                <w:sz w:val="18"/>
                <w:szCs w:val="18"/>
                <w:lang w:bidi="ar"/>
              </w:rPr>
              <w:t xml:space="preserve">目标1：确保研究所人员工资待遇及正常工作运转。                                                                                                        目标2：重点实验室仪器设备存放场地租赁及办公业务运行费主要用于弥补研究所公用经费不足，以保障研究所正常业务的开展及未来项目的规划设计运行要求。     </w:t>
            </w:r>
          </w:p>
        </w:tc>
        <w:tc>
          <w:tcPr>
            <w:tcW w:w="310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通过办公场所租赁及业务运行费项目支出，弥补一般预算经费不足，保障研究所正常运转，保证研究所人员经费支出不足部分、办公场所租赁部分，为人员经费及工作场所提供保障，日常工作中能够按上级部门要求报送月报、季报等。</w:t>
            </w:r>
          </w:p>
        </w:tc>
      </w:tr>
      <w:tr>
        <w:tblPrEx>
          <w:tblLayout w:type="fixed"/>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绩效指标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一级指标</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二级指标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三级指标</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年度指标值</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实际完成值</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偏差原因分析及改进措施</w:t>
            </w:r>
          </w:p>
        </w:tc>
      </w:tr>
      <w:tr>
        <w:tblPrEx>
          <w:tblLayout w:type="fixed"/>
          <w:tblCellMar>
            <w:top w:w="0" w:type="dxa"/>
            <w:left w:w="0" w:type="dxa"/>
            <w:bottom w:w="0" w:type="dxa"/>
            <w:right w:w="0" w:type="dxa"/>
          </w:tblCellMar>
        </w:tblPrEx>
        <w:trPr>
          <w:trHeight w:val="595" w:hRule="atLeast"/>
        </w:trPr>
        <w:tc>
          <w:tcPr>
            <w:tcW w:w="798" w:type="dxa"/>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产出指标</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数量指标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地下室租赁面积</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eastAsia="zh-CN"/>
              </w:rPr>
              <w:t>≥</w:t>
            </w:r>
            <w:r>
              <w:rPr>
                <w:rFonts w:hint="eastAsia"/>
                <w:sz w:val="18"/>
                <w:szCs w:val="18"/>
                <w:lang w:val="en-US" w:eastAsia="zh-CN"/>
              </w:rPr>
              <w:t>20平方米</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20平方米</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65" w:hRule="atLeast"/>
        </w:trPr>
        <w:tc>
          <w:tcPr>
            <w:tcW w:w="798" w:type="dxa"/>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eastAsia="zh-CN" w:bidi="ar"/>
              </w:rPr>
              <w:t>数量</w:t>
            </w:r>
            <w:r>
              <w:rPr>
                <w:kern w:val="0"/>
                <w:sz w:val="18"/>
                <w:szCs w:val="18"/>
                <w:lang w:bidi="ar"/>
              </w:rPr>
              <w:t>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人员办公人数</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=15人</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14人</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both"/>
              <w:textAlignment w:val="center"/>
              <w:rPr>
                <w:rFonts w:hint="eastAsia"/>
                <w:sz w:val="18"/>
                <w:szCs w:val="18"/>
                <w:lang w:val="en-US" w:eastAsia="zh-CN"/>
              </w:rPr>
            </w:pPr>
            <w:r>
              <w:rPr>
                <w:rFonts w:hint="eastAsia"/>
                <w:sz w:val="18"/>
                <w:szCs w:val="18"/>
                <w:lang w:val="en-US" w:eastAsia="zh-CN"/>
              </w:rPr>
              <w:t>偏差原因：离职人员增加1人。</w:t>
            </w:r>
          </w:p>
          <w:p>
            <w:pPr>
              <w:widowControl/>
              <w:jc w:val="both"/>
              <w:textAlignment w:val="center"/>
              <w:rPr>
                <w:rFonts w:hint="eastAsia" w:eastAsiaTheme="majorEastAsia"/>
                <w:lang w:eastAsia="zh-CN"/>
              </w:rPr>
            </w:pPr>
            <w:r>
              <w:rPr>
                <w:rFonts w:hint="eastAsia"/>
                <w:sz w:val="18"/>
                <w:szCs w:val="18"/>
                <w:lang w:val="en-US" w:eastAsia="zh-CN"/>
              </w:rPr>
              <w:t>改进措施</w:t>
            </w:r>
            <w:r>
              <w:rPr>
                <w:rFonts w:hint="eastAsia"/>
                <w:sz w:val="18"/>
                <w:szCs w:val="18"/>
                <w:lang w:eastAsia="zh-CN"/>
              </w:rPr>
              <w:t>：加强对相关人员的培训工作。</w:t>
            </w:r>
          </w:p>
        </w:tc>
      </w:tr>
      <w:tr>
        <w:tblPrEx>
          <w:tblLayout w:type="fixed"/>
          <w:tblCellMar>
            <w:top w:w="0" w:type="dxa"/>
            <w:left w:w="0" w:type="dxa"/>
            <w:bottom w:w="0" w:type="dxa"/>
            <w:right w:w="0" w:type="dxa"/>
          </w:tblCellMar>
        </w:tblPrEx>
        <w:trPr>
          <w:trHeight w:val="500" w:hRule="atLeast"/>
        </w:trPr>
        <w:tc>
          <w:tcPr>
            <w:tcW w:w="798" w:type="dxa"/>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时效指标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公用经费支付及时率</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60" w:hRule="atLeast"/>
        </w:trPr>
        <w:tc>
          <w:tcPr>
            <w:tcW w:w="798" w:type="dxa"/>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成本指标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人均运转经费</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=1万</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0.83万</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both"/>
              <w:textAlignment w:val="center"/>
              <w:rPr>
                <w:rFonts w:hint="eastAsia"/>
                <w:sz w:val="18"/>
                <w:szCs w:val="18"/>
                <w:lang w:val="en-US" w:eastAsia="zh-CN"/>
              </w:rPr>
            </w:pPr>
            <w:r>
              <w:rPr>
                <w:rFonts w:hint="eastAsia"/>
                <w:sz w:val="18"/>
                <w:szCs w:val="18"/>
                <w:lang w:val="en-US" w:eastAsia="zh-CN"/>
              </w:rPr>
              <w:t>偏差原因：离职人员增加1人，因疫情原因调研减少。</w:t>
            </w:r>
          </w:p>
          <w:p>
            <w:pPr>
              <w:widowControl/>
              <w:jc w:val="both"/>
              <w:textAlignment w:val="center"/>
              <w:rPr>
                <w:rFonts w:hint="eastAsia"/>
                <w:lang w:eastAsia="zh-CN"/>
              </w:rPr>
            </w:pPr>
            <w:r>
              <w:rPr>
                <w:rFonts w:hint="eastAsia"/>
                <w:sz w:val="18"/>
                <w:szCs w:val="18"/>
                <w:lang w:val="en-US" w:eastAsia="zh-CN"/>
              </w:rPr>
              <w:t>改进措施：根据以后年度实际情况提前做好项目规划，将所列计划再三审核。</w:t>
            </w:r>
          </w:p>
        </w:tc>
      </w:tr>
      <w:tr>
        <w:tblPrEx>
          <w:tblLayout w:type="fixed"/>
          <w:tblCellMar>
            <w:top w:w="0" w:type="dxa"/>
            <w:left w:w="0" w:type="dxa"/>
            <w:bottom w:w="0" w:type="dxa"/>
            <w:right w:w="0" w:type="dxa"/>
          </w:tblCellMar>
        </w:tblPrEx>
        <w:trPr>
          <w:trHeight w:val="620" w:hRule="atLeast"/>
        </w:trPr>
        <w:tc>
          <w:tcPr>
            <w:tcW w:w="798" w:type="dxa"/>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效益指标</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sz w:val="18"/>
                <w:szCs w:val="18"/>
              </w:rPr>
              <w:t>社会效益指标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保障正常开展办公业务</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≥90%</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89%</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both"/>
              <w:textAlignment w:val="center"/>
              <w:rPr>
                <w:rFonts w:hint="eastAsia"/>
                <w:sz w:val="18"/>
                <w:szCs w:val="18"/>
                <w:lang w:val="en-US" w:eastAsia="zh-CN"/>
              </w:rPr>
            </w:pPr>
            <w:r>
              <w:rPr>
                <w:rFonts w:hint="eastAsia"/>
                <w:sz w:val="18"/>
                <w:szCs w:val="18"/>
                <w:lang w:val="en-US" w:eastAsia="zh-CN"/>
              </w:rPr>
              <w:t>偏差原因：因疫情原因调研减少。</w:t>
            </w:r>
          </w:p>
          <w:p>
            <w:pPr>
              <w:widowControl/>
              <w:jc w:val="both"/>
              <w:textAlignment w:val="center"/>
              <w:rPr>
                <w:rFonts w:hint="eastAsia"/>
                <w:lang w:eastAsia="zh-CN"/>
              </w:rPr>
            </w:pPr>
            <w:r>
              <w:rPr>
                <w:rFonts w:hint="eastAsia"/>
                <w:sz w:val="18"/>
                <w:szCs w:val="18"/>
                <w:lang w:val="en-US" w:eastAsia="zh-CN"/>
              </w:rPr>
              <w:t>改进措施：根据以后年度实际情况提前做好项目规划，将所列计划再三审核。</w:t>
            </w:r>
          </w:p>
        </w:tc>
      </w:tr>
      <w:tr>
        <w:tblPrEx>
          <w:tblLayout w:type="fixed"/>
          <w:tblCellMar>
            <w:top w:w="0" w:type="dxa"/>
            <w:left w:w="0" w:type="dxa"/>
            <w:bottom w:w="0" w:type="dxa"/>
            <w:right w:w="0" w:type="dxa"/>
          </w:tblCellMar>
        </w:tblPrEx>
        <w:trPr>
          <w:trHeight w:val="55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经济效益</w:t>
            </w:r>
            <w:r>
              <w:rPr>
                <w:sz w:val="18"/>
                <w:szCs w:val="18"/>
              </w:rPr>
              <w:t>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14"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生态效益</w:t>
            </w:r>
            <w:r>
              <w:rPr>
                <w:sz w:val="18"/>
                <w:szCs w:val="18"/>
              </w:rPr>
              <w:t>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37"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可持续影响指标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eastAsia="zh-CN"/>
              </w:rPr>
            </w:pPr>
            <w:r>
              <w:rPr>
                <w:kern w:val="0"/>
                <w:sz w:val="18"/>
                <w:szCs w:val="18"/>
                <w:lang w:bidi="ar"/>
              </w:rPr>
              <w:t>满意度</w:t>
            </w:r>
            <w:r>
              <w:rPr>
                <w:rFonts w:hint="eastAsia"/>
                <w:kern w:val="0"/>
                <w:sz w:val="18"/>
                <w:szCs w:val="18"/>
                <w:lang w:eastAsia="zh-CN" w:bidi="ar"/>
              </w:rPr>
              <w:t>指标</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kern w:val="0"/>
                <w:sz w:val="18"/>
                <w:szCs w:val="18"/>
                <w:lang w:eastAsia="zh-CN" w:bidi="ar"/>
              </w:rPr>
              <w:t>服务对象</w:t>
            </w:r>
            <w:r>
              <w:rPr>
                <w:kern w:val="0"/>
                <w:sz w:val="18"/>
                <w:szCs w:val="18"/>
                <w:lang w:bidi="ar"/>
              </w:rPr>
              <w:t>满意度指标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出租方满意度</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kern w:val="0"/>
                <w:sz w:val="18"/>
                <w:szCs w:val="18"/>
                <w:lang w:eastAsia="zh-CN" w:bidi="ar"/>
              </w:rPr>
            </w:pPr>
            <w:r>
              <w:rPr>
                <w:rFonts w:hint="eastAsia"/>
                <w:kern w:val="0"/>
                <w:sz w:val="18"/>
                <w:szCs w:val="18"/>
                <w:lang w:eastAsia="zh-CN" w:bidi="ar"/>
              </w:rPr>
              <w:t>服务对象</w:t>
            </w:r>
            <w:r>
              <w:rPr>
                <w:kern w:val="0"/>
                <w:sz w:val="18"/>
                <w:szCs w:val="18"/>
                <w:lang w:bidi="ar"/>
              </w:rPr>
              <w:t>满意度指标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工作人员满意度</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eastAsia="zh-CN"/>
              </w:rPr>
              <w:t>≥</w:t>
            </w:r>
            <w:r>
              <w:rPr>
                <w:rFonts w:hint="eastAsia"/>
                <w:sz w:val="18"/>
                <w:szCs w:val="18"/>
                <w:lang w:val="en-US" w:eastAsia="zh-CN"/>
              </w:rPr>
              <w:t>90%</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90%</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bl>
    <w:p>
      <w:pPr>
        <w:pStyle w:val="2"/>
        <w:jc w:val="both"/>
        <w:rPr>
          <w:rFonts w:ascii="Times New Roman" w:hAnsi="Times New Roman" w:eastAsia="黑体"/>
          <w:b w:val="0"/>
          <w:bCs w:val="0"/>
        </w:rPr>
      </w:pPr>
    </w:p>
    <w:p>
      <w:pPr>
        <w:pStyle w:val="2"/>
        <w:jc w:val="both"/>
        <w:rPr>
          <w:rFonts w:ascii="Times New Roman" w:hAnsi="Times New Roman"/>
        </w:rPr>
        <w:sectPr>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600" w:lineRule="exact"/>
        <w:rPr>
          <w:bCs/>
          <w:sz w:val="32"/>
          <w:szCs w:val="32"/>
        </w:rPr>
      </w:pPr>
      <w:r>
        <w:rPr>
          <w:bCs/>
          <w:sz w:val="32"/>
          <w:szCs w:val="32"/>
        </w:rPr>
        <w:t>附件1</w:t>
      </w:r>
    </w:p>
    <w:tbl>
      <w:tblPr>
        <w:tblStyle w:val="2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3.08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9.33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rPr>
              <w:t>1</w:t>
            </w:r>
            <w:r>
              <w:rPr>
                <w:rFonts w:hint="eastAsia"/>
                <w:b/>
                <w:bCs/>
                <w:color w:val="000000"/>
                <w:kern w:val="0"/>
                <w:sz w:val="22"/>
                <w:szCs w:val="22"/>
                <w:lang w:val="en-US" w:eastAsia="zh-CN"/>
              </w:rPr>
              <w:t>0</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bl>
    <w:p>
      <w:pPr>
        <w:pStyle w:val="2"/>
        <w:rPr>
          <w:rFonts w:ascii="Times New Roman" w:hAnsi="Times New Roman"/>
        </w:rPr>
      </w:pPr>
    </w:p>
    <w:p/>
    <w:p>
      <w:pPr>
        <w:spacing w:line="540" w:lineRule="exact"/>
        <w:ind w:firstLine="640"/>
        <w:rPr>
          <w:rStyle w:val="21"/>
          <w:rFonts w:eastAsia="黑体"/>
          <w:bCs w:val="0"/>
          <w:spacing w:val="-4"/>
          <w:sz w:val="32"/>
          <w:szCs w:val="32"/>
        </w:rPr>
      </w:pPr>
    </w:p>
    <w:p>
      <w:pPr>
        <w:spacing w:line="540" w:lineRule="exact"/>
        <w:ind w:firstLine="640"/>
        <w:rPr>
          <w:rStyle w:val="21"/>
          <w:rFonts w:eastAsia="黑体"/>
          <w:bCs w:val="0"/>
          <w:spacing w:val="-4"/>
          <w:sz w:val="32"/>
          <w:szCs w:val="32"/>
        </w:rPr>
      </w:pPr>
    </w:p>
    <w:p>
      <w:pPr>
        <w:spacing w:line="540" w:lineRule="exact"/>
        <w:ind w:firstLine="640"/>
        <w:rPr>
          <w:rStyle w:val="21"/>
          <w:rFonts w:eastAsia="黑体"/>
          <w:bCs w:val="0"/>
          <w:spacing w:val="-4"/>
          <w:sz w:val="32"/>
          <w:szCs w:val="32"/>
        </w:rPr>
      </w:pPr>
    </w:p>
    <w:p>
      <w:pPr>
        <w:spacing w:line="540" w:lineRule="exact"/>
        <w:ind w:firstLine="640"/>
        <w:rPr>
          <w:rStyle w:val="21"/>
          <w:rFonts w:eastAsia="黑体"/>
          <w:bCs w:val="0"/>
          <w:spacing w:val="-4"/>
          <w:sz w:val="32"/>
          <w:szCs w:val="32"/>
        </w:rPr>
      </w:pPr>
    </w:p>
    <w:p>
      <w:pPr>
        <w:spacing w:line="540" w:lineRule="exact"/>
        <w:ind w:firstLine="640"/>
        <w:rPr>
          <w:rStyle w:val="21"/>
          <w:rFonts w:eastAsia="黑体"/>
          <w:bCs w:val="0"/>
          <w:spacing w:val="-4"/>
          <w:sz w:val="32"/>
          <w:szCs w:val="32"/>
        </w:rPr>
      </w:pPr>
    </w:p>
    <w:p>
      <w:pPr>
        <w:spacing w:line="540" w:lineRule="exact"/>
        <w:ind w:firstLine="640"/>
        <w:rPr>
          <w:rStyle w:val="21"/>
          <w:rFonts w:eastAsia="黑体"/>
          <w:bCs w:val="0"/>
          <w:spacing w:val="-4"/>
          <w:sz w:val="32"/>
          <w:szCs w:val="32"/>
        </w:rPr>
      </w:pPr>
    </w:p>
    <w:p>
      <w:pPr>
        <w:spacing w:line="540" w:lineRule="exact"/>
        <w:rPr>
          <w:rStyle w:val="21"/>
          <w:rFonts w:eastAsia="仿宋"/>
          <w:b w:val="0"/>
          <w:spacing w:val="-4"/>
          <w:sz w:val="32"/>
          <w:szCs w:val="32"/>
        </w:rPr>
      </w:pPr>
    </w:p>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5MzcyNTYyNDIzYzQ0ZDM4Njc0NGI3ODRiZWI3ZDA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5E51322"/>
    <w:rsid w:val="066D6EAA"/>
    <w:rsid w:val="06DC1681"/>
    <w:rsid w:val="08C662D4"/>
    <w:rsid w:val="09BD4D95"/>
    <w:rsid w:val="0B0F58D6"/>
    <w:rsid w:val="0F8D41CB"/>
    <w:rsid w:val="0FEE2F21"/>
    <w:rsid w:val="11C75270"/>
    <w:rsid w:val="12637CC3"/>
    <w:rsid w:val="12E657C5"/>
    <w:rsid w:val="133C6E2A"/>
    <w:rsid w:val="167C7687"/>
    <w:rsid w:val="168B3546"/>
    <w:rsid w:val="16EA7BE5"/>
    <w:rsid w:val="1A2374E0"/>
    <w:rsid w:val="1A2975D8"/>
    <w:rsid w:val="1C317CE2"/>
    <w:rsid w:val="1DD45808"/>
    <w:rsid w:val="1DED42AC"/>
    <w:rsid w:val="20005763"/>
    <w:rsid w:val="20FB313D"/>
    <w:rsid w:val="220B4804"/>
    <w:rsid w:val="24C97D99"/>
    <w:rsid w:val="25FB464E"/>
    <w:rsid w:val="278B653F"/>
    <w:rsid w:val="282475E3"/>
    <w:rsid w:val="289F4309"/>
    <w:rsid w:val="29E421D9"/>
    <w:rsid w:val="2C6100C1"/>
    <w:rsid w:val="3235157C"/>
    <w:rsid w:val="3264220D"/>
    <w:rsid w:val="32A83563"/>
    <w:rsid w:val="37BB5876"/>
    <w:rsid w:val="38872456"/>
    <w:rsid w:val="3963178C"/>
    <w:rsid w:val="3BA5236D"/>
    <w:rsid w:val="3CED0699"/>
    <w:rsid w:val="3EB02FD6"/>
    <w:rsid w:val="41CC2676"/>
    <w:rsid w:val="46B21672"/>
    <w:rsid w:val="4F552460"/>
    <w:rsid w:val="4FCC6863"/>
    <w:rsid w:val="500A214A"/>
    <w:rsid w:val="50706B0F"/>
    <w:rsid w:val="51B977CF"/>
    <w:rsid w:val="522D604D"/>
    <w:rsid w:val="5297585E"/>
    <w:rsid w:val="52AD7D6F"/>
    <w:rsid w:val="5549519D"/>
    <w:rsid w:val="5557596B"/>
    <w:rsid w:val="5B01467F"/>
    <w:rsid w:val="5B596DFC"/>
    <w:rsid w:val="5C3B4756"/>
    <w:rsid w:val="5C3E01D7"/>
    <w:rsid w:val="5DAE6D00"/>
    <w:rsid w:val="5DF03945"/>
    <w:rsid w:val="5F03526B"/>
    <w:rsid w:val="62E515AF"/>
    <w:rsid w:val="637C2815"/>
    <w:rsid w:val="666B4FDC"/>
    <w:rsid w:val="67FF13C8"/>
    <w:rsid w:val="682144B7"/>
    <w:rsid w:val="6B503F77"/>
    <w:rsid w:val="6E311968"/>
    <w:rsid w:val="7060467E"/>
    <w:rsid w:val="747E222B"/>
    <w:rsid w:val="7A353D0B"/>
    <w:rsid w:val="7C8C2820"/>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First Indent"/>
    <w:basedOn w:val="13"/>
    <w:qFormat/>
    <w:uiPriority w:val="0"/>
    <w:pPr>
      <w:spacing w:after="0"/>
      <w:ind w:firstLine="200" w:firstLineChars="200"/>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49"/>
    <w:semiHidden/>
    <w:unhideWhenUsed/>
    <w:qFormat/>
    <w:uiPriority w:val="99"/>
    <w:rPr>
      <w:sz w:val="18"/>
      <w:szCs w:val="18"/>
    </w:rPr>
  </w:style>
  <w:style w:type="paragraph" w:styleId="16">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7">
    <w:name w:val="Body Text First Indent 2"/>
    <w:basedOn w:val="14"/>
    <w:qFormat/>
    <w:uiPriority w:val="0"/>
    <w:pPr>
      <w:ind w:firstLine="420" w:firstLineChars="200"/>
    </w:pPr>
  </w:style>
  <w:style w:type="paragraph" w:styleId="18">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4">
    <w:name w:val="标题 1 字符"/>
    <w:basedOn w:val="20"/>
    <w:link w:val="3"/>
    <w:qFormat/>
    <w:uiPriority w:val="9"/>
    <w:rPr>
      <w:rFonts w:asciiTheme="majorHAnsi" w:hAnsiTheme="majorHAnsi" w:eastAsiaTheme="majorEastAsia"/>
      <w:b/>
      <w:bCs/>
      <w:kern w:val="32"/>
      <w:sz w:val="32"/>
      <w:szCs w:val="32"/>
    </w:rPr>
  </w:style>
  <w:style w:type="character" w:customStyle="1" w:styleId="25">
    <w:name w:val="标题 2 字符"/>
    <w:basedOn w:val="20"/>
    <w:link w:val="4"/>
    <w:semiHidden/>
    <w:qFormat/>
    <w:uiPriority w:val="9"/>
    <w:rPr>
      <w:rFonts w:asciiTheme="majorHAnsi" w:hAnsiTheme="majorHAnsi" w:eastAsiaTheme="majorEastAsia"/>
      <w:b/>
      <w:bCs/>
      <w:i/>
      <w:iCs/>
      <w:sz w:val="28"/>
      <w:szCs w:val="28"/>
    </w:rPr>
  </w:style>
  <w:style w:type="character" w:customStyle="1" w:styleId="26">
    <w:name w:val="标题 3 字符"/>
    <w:basedOn w:val="20"/>
    <w:link w:val="5"/>
    <w:semiHidden/>
    <w:qFormat/>
    <w:uiPriority w:val="9"/>
    <w:rPr>
      <w:rFonts w:asciiTheme="majorHAnsi" w:hAnsiTheme="majorHAnsi" w:eastAsiaTheme="majorEastAsia"/>
      <w:b/>
      <w:bCs/>
      <w:sz w:val="26"/>
      <w:szCs w:val="26"/>
    </w:rPr>
  </w:style>
  <w:style w:type="character" w:customStyle="1" w:styleId="27">
    <w:name w:val="标题 4 字符"/>
    <w:basedOn w:val="20"/>
    <w:link w:val="6"/>
    <w:semiHidden/>
    <w:qFormat/>
    <w:uiPriority w:val="9"/>
    <w:rPr>
      <w:b/>
      <w:bCs/>
      <w:sz w:val="28"/>
      <w:szCs w:val="28"/>
    </w:rPr>
  </w:style>
  <w:style w:type="character" w:customStyle="1" w:styleId="28">
    <w:name w:val="标题 5 字符"/>
    <w:basedOn w:val="20"/>
    <w:link w:val="7"/>
    <w:semiHidden/>
    <w:qFormat/>
    <w:uiPriority w:val="9"/>
    <w:rPr>
      <w:b/>
      <w:bCs/>
      <w:i/>
      <w:iCs/>
      <w:sz w:val="26"/>
      <w:szCs w:val="26"/>
    </w:rPr>
  </w:style>
  <w:style w:type="character" w:customStyle="1" w:styleId="29">
    <w:name w:val="标题 6 字符"/>
    <w:basedOn w:val="20"/>
    <w:link w:val="8"/>
    <w:semiHidden/>
    <w:qFormat/>
    <w:uiPriority w:val="9"/>
    <w:rPr>
      <w:b/>
      <w:bCs/>
    </w:rPr>
  </w:style>
  <w:style w:type="character" w:customStyle="1" w:styleId="30">
    <w:name w:val="标题 7 字符"/>
    <w:basedOn w:val="20"/>
    <w:link w:val="9"/>
    <w:semiHidden/>
    <w:qFormat/>
    <w:uiPriority w:val="9"/>
    <w:rPr>
      <w:sz w:val="24"/>
      <w:szCs w:val="24"/>
    </w:rPr>
  </w:style>
  <w:style w:type="character" w:customStyle="1" w:styleId="31">
    <w:name w:val="标题 8 字符"/>
    <w:basedOn w:val="20"/>
    <w:link w:val="10"/>
    <w:semiHidden/>
    <w:qFormat/>
    <w:uiPriority w:val="9"/>
    <w:rPr>
      <w:i/>
      <w:iCs/>
      <w:sz w:val="24"/>
      <w:szCs w:val="24"/>
    </w:rPr>
  </w:style>
  <w:style w:type="character" w:customStyle="1" w:styleId="32">
    <w:name w:val="标题 9 字符"/>
    <w:basedOn w:val="20"/>
    <w:link w:val="11"/>
    <w:semiHidden/>
    <w:qFormat/>
    <w:uiPriority w:val="9"/>
    <w:rPr>
      <w:rFonts w:asciiTheme="majorHAnsi" w:hAnsiTheme="majorHAnsi" w:eastAsiaTheme="majorEastAsia"/>
    </w:rPr>
  </w:style>
  <w:style w:type="character" w:customStyle="1" w:styleId="33">
    <w:name w:val="标题 字符"/>
    <w:basedOn w:val="20"/>
    <w:link w:val="2"/>
    <w:qFormat/>
    <w:uiPriority w:val="10"/>
    <w:rPr>
      <w:rFonts w:asciiTheme="majorHAnsi" w:hAnsiTheme="majorHAnsi" w:eastAsiaTheme="majorEastAsia"/>
      <w:b/>
      <w:bCs/>
      <w:kern w:val="28"/>
      <w:sz w:val="32"/>
      <w:szCs w:val="32"/>
    </w:rPr>
  </w:style>
  <w:style w:type="character" w:customStyle="1" w:styleId="34">
    <w:name w:val="副标题 字符"/>
    <w:basedOn w:val="20"/>
    <w:link w:val="19"/>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0"/>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0"/>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0"/>
    <w:qFormat/>
    <w:uiPriority w:val="21"/>
    <w:rPr>
      <w:b/>
      <w:i/>
      <w:sz w:val="24"/>
      <w:szCs w:val="24"/>
      <w:u w:val="single"/>
    </w:rPr>
  </w:style>
  <w:style w:type="character" w:customStyle="1" w:styleId="43">
    <w:name w:val="不明显参考1"/>
    <w:basedOn w:val="20"/>
    <w:qFormat/>
    <w:uiPriority w:val="31"/>
    <w:rPr>
      <w:sz w:val="24"/>
      <w:szCs w:val="24"/>
      <w:u w:val="single"/>
    </w:rPr>
  </w:style>
  <w:style w:type="character" w:customStyle="1" w:styleId="44">
    <w:name w:val="明显参考1"/>
    <w:basedOn w:val="20"/>
    <w:qFormat/>
    <w:uiPriority w:val="32"/>
    <w:rPr>
      <w:b/>
      <w:sz w:val="24"/>
      <w:u w:val="single"/>
    </w:rPr>
  </w:style>
  <w:style w:type="character" w:customStyle="1" w:styleId="45">
    <w:name w:val="书籍标题1"/>
    <w:basedOn w:val="20"/>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0"/>
    <w:link w:val="18"/>
    <w:qFormat/>
    <w:uiPriority w:val="99"/>
    <w:rPr>
      <w:rFonts w:ascii="Calibri" w:hAnsi="Calibri" w:eastAsia="宋体"/>
      <w:kern w:val="2"/>
      <w:sz w:val="18"/>
      <w:szCs w:val="18"/>
    </w:rPr>
  </w:style>
  <w:style w:type="character" w:customStyle="1" w:styleId="48">
    <w:name w:val="页脚 字符"/>
    <w:basedOn w:val="20"/>
    <w:link w:val="16"/>
    <w:qFormat/>
    <w:uiPriority w:val="99"/>
    <w:rPr>
      <w:rFonts w:ascii="Calibri" w:hAnsi="Calibri" w:eastAsia="宋体"/>
      <w:kern w:val="2"/>
      <w:sz w:val="18"/>
      <w:szCs w:val="18"/>
    </w:rPr>
  </w:style>
  <w:style w:type="character" w:customStyle="1" w:styleId="49">
    <w:name w:val="批注框文本 字符"/>
    <w:basedOn w:val="20"/>
    <w:link w:val="15"/>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8416</Words>
  <Characters>8841</Characters>
  <Lines>50</Lines>
  <Paragraphs>14</Paragraphs>
  <ScaleCrop>false</ScaleCrop>
  <LinksUpToDate>false</LinksUpToDate>
  <CharactersWithSpaces>8975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2023-03-16T04:45:00Z</cp:lastPrinted>
  <dcterms:modified xsi:type="dcterms:W3CDTF">2023-12-28T10:45:18Z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013360FACCE1418B80C968824022A9DF</vt:lpwstr>
  </property>
  <property fmtid="{D5CDD505-2E9C-101B-9397-08002B2CF9AE}" pid="4" name="KSOSaveFontToCloudKey">
    <vt:lpwstr>0_btnclosed</vt:lpwstr>
  </property>
</Properties>
</file>