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26AD">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FBE7F03">
      <w:pPr>
        <w:keepNext w:val="0"/>
        <w:keepLines w:val="0"/>
        <w:pageBreakBefore w:val="0"/>
        <w:widowControl/>
        <w:shd w:val="clear" w:color="auto" w:fill="FFFFFF"/>
        <w:kinsoku/>
        <w:wordWrap/>
        <w:overflowPunct/>
        <w:topLinePunct w:val="0"/>
        <w:autoSpaceDE/>
        <w:autoSpaceDN/>
        <w:bidi w:val="0"/>
        <w:adjustRightInd/>
        <w:snapToGrid/>
        <w:spacing w:line="660" w:lineRule="exact"/>
        <w:jc w:val="both"/>
        <w:textAlignment w:val="auto"/>
        <w:outlineLvl w:val="0"/>
        <w:rPr>
          <w:rFonts w:hint="eastAsia" w:ascii="黑体" w:hAnsi="黑体" w:eastAsia="黑体" w:cs="黑体"/>
          <w:color w:val="000000"/>
          <w:spacing w:val="-20"/>
          <w:kern w:val="0"/>
          <w:sz w:val="32"/>
          <w:szCs w:val="32"/>
          <w:lang w:eastAsia="zh-CN"/>
        </w:rPr>
      </w:pPr>
    </w:p>
    <w:p w14:paraId="136C806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 xml:space="preserve"> </w:t>
      </w:r>
      <w:bookmarkStart w:id="18" w:name="_GoBack"/>
      <w:r>
        <w:rPr>
          <w:rFonts w:hint="eastAsia" w:ascii="方正小标宋_GBK" w:hAnsi="方正小标宋_GBK" w:eastAsia="方正小标宋_GBK" w:cs="方正小标宋_GBK"/>
          <w:sz w:val="44"/>
          <w:szCs w:val="44"/>
          <w:lang w:eastAsia="zh-CN"/>
        </w:rPr>
        <w:t>新疆维吾尔自治区气象灾害防御重点单位</w:t>
      </w:r>
    </w:p>
    <w:p w14:paraId="4D9BA31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气象安全管理办法</w:t>
      </w:r>
    </w:p>
    <w:p w14:paraId="17A0AB0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（草案）</w:t>
      </w:r>
    </w:p>
    <w:bookmarkEnd w:id="18"/>
    <w:p w14:paraId="7C75770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楷体_GB2312" w:hAnsi="楷体_GB2312" w:eastAsia="楷体_GB2312" w:cs="楷体_GB2312"/>
          <w:sz w:val="32"/>
          <w:szCs w:val="32"/>
          <w:lang w:eastAsia="zh-CN"/>
        </w:rPr>
      </w:pPr>
    </w:p>
    <w:p w14:paraId="6AAB2395">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黑体" w:hAnsi="黑体" w:eastAsia="黑体" w:cs="Times New Roman"/>
          <w:sz w:val="32"/>
          <w:szCs w:val="32"/>
        </w:rPr>
        <w:t>第一条【立法目的】</w:t>
      </w:r>
      <w:r>
        <w:rPr>
          <w:rFonts w:hint="eastAsia" w:ascii="黑体" w:hAnsi="黑体" w:eastAsia="黑体" w:cs="Times New Roman"/>
          <w:sz w:val="32"/>
          <w:szCs w:val="32"/>
          <w:lang w:val="en-US" w:eastAsia="zh-CN"/>
        </w:rPr>
        <w:t xml:space="preserve"> </w:t>
      </w:r>
      <w:r>
        <w:rPr>
          <w:rFonts w:hint="eastAsia" w:ascii="仿宋_GB2312" w:hAnsi="微软雅黑" w:cs="宋体"/>
          <w:color w:val="000000"/>
          <w:kern w:val="0"/>
          <w:szCs w:val="32"/>
        </w:rPr>
        <w:t>为了加强对气象灾害防御重点单位的气象安全管理，避免、减轻气象灾害造成的损失，保障人民生命财产安全，根据《中华人民共和国气象法》、国务院《气象灾害防御条例》和《新疆维吾尔自治区气象灾害防御条例》等法律、法规，结合自治区实际，制定本办法。</w:t>
      </w:r>
    </w:p>
    <w:p w14:paraId="79A4345B">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ascii="微软雅黑" w:hAnsi="微软雅黑" w:eastAsia="微软雅黑" w:cs="宋体"/>
          <w:color w:val="000000"/>
          <w:kern w:val="0"/>
          <w:szCs w:val="32"/>
        </w:rPr>
      </w:pPr>
      <w:r>
        <w:rPr>
          <w:rFonts w:hint="eastAsia" w:ascii="黑体" w:hAnsi="黑体" w:eastAsia="黑体" w:cs="Times New Roman"/>
          <w:sz w:val="32"/>
          <w:szCs w:val="32"/>
        </w:rPr>
        <w:t>第二条【适用范围及概念】</w:t>
      </w:r>
      <w:r>
        <w:rPr>
          <w:rFonts w:hint="eastAsia" w:ascii="黑体" w:hAnsi="黑体" w:eastAsia="黑体" w:cs="Times New Roman"/>
          <w:sz w:val="32"/>
          <w:szCs w:val="32"/>
          <w:lang w:val="en-US" w:eastAsia="zh-CN"/>
        </w:rPr>
        <w:t xml:space="preserve"> </w:t>
      </w:r>
      <w:r>
        <w:rPr>
          <w:rFonts w:hint="eastAsia" w:ascii="仿宋_GB2312" w:hAnsi="微软雅黑" w:cs="宋体"/>
          <w:color w:val="000000"/>
          <w:kern w:val="0"/>
          <w:szCs w:val="32"/>
        </w:rPr>
        <w:t>本办法适用于自治区行政区域内气象灾害防御重点单位的确定、气象灾害防御和监督检查等气象安全管理活动。</w:t>
      </w:r>
    </w:p>
    <w:p w14:paraId="2787783A">
      <w:pPr>
        <w:pStyle w:val="3"/>
        <w:keepNext w:val="0"/>
        <w:keepLines w:val="0"/>
        <w:pageBreakBefore w:val="0"/>
        <w:kinsoku/>
        <w:wordWrap/>
        <w:overflowPunct/>
        <w:topLinePunct w:val="0"/>
        <w:autoSpaceDE/>
        <w:autoSpaceDN/>
        <w:bidi w:val="0"/>
        <w:adjustRightInd/>
        <w:snapToGrid/>
        <w:ind w:firstLine="632"/>
        <w:rPr>
          <w:color w:val="000000"/>
        </w:rPr>
      </w:pPr>
      <w:r>
        <w:rPr>
          <w:rFonts w:hint="eastAsia"/>
          <w:color w:val="000000"/>
        </w:rPr>
        <w:t>本办法所称气象灾害防御重点单位（以下简称重点单位）是指易遭受暴雨、暴雪、风吹雪、大风、沙尘暴、寒潮、干旱、低温、高温、雷电、冰雹、霜冻、道路结冰和大雾等气象灾害影响，并可能造成较大人员伤亡、经济损失或者发生较严重安全事故的单位。</w:t>
      </w:r>
    </w:p>
    <w:p w14:paraId="6296769A">
      <w:pPr>
        <w:keepNext w:val="0"/>
        <w:keepLines w:val="0"/>
        <w:pageBreakBefore w:val="0"/>
        <w:widowControl/>
        <w:shd w:val="clear" w:color="auto" w:fill="FFFFFF"/>
        <w:kinsoku/>
        <w:wordWrap/>
        <w:overflowPunct/>
        <w:topLinePunct w:val="0"/>
        <w:autoSpaceDE/>
        <w:autoSpaceDN/>
        <w:bidi w:val="0"/>
        <w:adjustRightInd/>
        <w:snapToGrid/>
        <w:ind w:firstLine="645"/>
        <w:rPr>
          <w:rFonts w:hint="eastAsia" w:ascii="仿宋_GB2312" w:hAnsi="微软雅黑" w:cs="宋体"/>
          <w:strike/>
          <w:color w:val="000000"/>
          <w:kern w:val="0"/>
          <w:szCs w:val="32"/>
        </w:rPr>
      </w:pPr>
      <w:r>
        <w:rPr>
          <w:rFonts w:hint="eastAsia" w:ascii="黑体" w:hAnsi="黑体" w:eastAsia="黑体" w:cs="Times New Roman"/>
          <w:sz w:val="32"/>
          <w:szCs w:val="32"/>
        </w:rPr>
        <w:t>第三条【政府职责】</w:t>
      </w:r>
      <w:r>
        <w:rPr>
          <w:rFonts w:hint="eastAsia" w:ascii="黑体" w:hAnsi="黑体" w:eastAsia="黑体" w:cs="Times New Roman"/>
          <w:sz w:val="32"/>
          <w:szCs w:val="32"/>
          <w:lang w:val="en-US" w:eastAsia="zh-CN"/>
        </w:rPr>
        <w:t xml:space="preserve"> </w:t>
      </w:r>
      <w:r>
        <w:rPr>
          <w:rFonts w:hint="eastAsia" w:ascii="仿宋_GB2312" w:hAnsi="微软雅黑" w:cs="宋体"/>
          <w:color w:val="000000"/>
          <w:kern w:val="0"/>
          <w:szCs w:val="32"/>
        </w:rPr>
        <w:t>县级以上人民政府应当加强对重点单位气象安全管理工作的组织领导和经费保障，建立健全重点单位气象安全工作协调机制和联合检查结果通报机制，及时协调、解决气象安全管理中存在的重大问题。</w:t>
      </w:r>
    </w:p>
    <w:p w14:paraId="1670860C">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strike/>
          <w:color w:val="000000"/>
          <w:kern w:val="0"/>
          <w:szCs w:val="32"/>
          <w:highlight w:val="yellow"/>
        </w:rPr>
      </w:pPr>
      <w:r>
        <w:rPr>
          <w:rFonts w:hint="eastAsia" w:ascii="仿宋_GB2312" w:hAnsi="微软雅黑" w:cs="宋体"/>
          <w:color w:val="000000"/>
          <w:kern w:val="0"/>
          <w:szCs w:val="32"/>
        </w:rPr>
        <w:t>乡镇人民政府和街道办事处应当协助气象主管机构、县级以上人民政府有关部门依法履行重点单位气象安全管理相关职责。</w:t>
      </w:r>
    </w:p>
    <w:p w14:paraId="4EDF4070">
      <w:pPr>
        <w:keepNext w:val="0"/>
        <w:keepLines w:val="0"/>
        <w:pageBreakBefore w:val="0"/>
        <w:widowControl/>
        <w:shd w:val="clear" w:color="auto" w:fill="FFFFFF"/>
        <w:kinsoku/>
        <w:wordWrap/>
        <w:overflowPunct/>
        <w:topLinePunct w:val="0"/>
        <w:autoSpaceDE/>
        <w:autoSpaceDN/>
        <w:bidi w:val="0"/>
        <w:adjustRightInd/>
        <w:snapToGrid/>
        <w:ind w:firstLine="645"/>
        <w:rPr>
          <w:rFonts w:hint="eastAsia" w:ascii="仿宋_GB2312" w:hAnsi="微软雅黑" w:cs="宋体"/>
          <w:strike/>
          <w:color w:val="000000"/>
          <w:kern w:val="0"/>
          <w:szCs w:val="32"/>
          <w:highlight w:val="yellow"/>
        </w:rPr>
      </w:pPr>
      <w:r>
        <w:rPr>
          <w:rFonts w:hint="eastAsia" w:ascii="黑体" w:hAnsi="黑体" w:eastAsia="黑体" w:cs="Times New Roman"/>
          <w:sz w:val="32"/>
          <w:szCs w:val="32"/>
        </w:rPr>
        <w:t>第四条【部门职责】</w:t>
      </w:r>
      <w:r>
        <w:rPr>
          <w:rFonts w:hint="eastAsia" w:ascii="黑体" w:hAnsi="黑体" w:eastAsia="黑体" w:cs="Times New Roman"/>
          <w:sz w:val="32"/>
          <w:szCs w:val="32"/>
          <w:lang w:val="en-US" w:eastAsia="zh-CN"/>
        </w:rPr>
        <w:t xml:space="preserve"> </w:t>
      </w:r>
      <w:r>
        <w:rPr>
          <w:rFonts w:hint="eastAsia" w:ascii="仿宋_GB2312" w:hAnsi="微软雅黑" w:cs="宋体"/>
          <w:color w:val="000000"/>
          <w:kern w:val="0"/>
          <w:szCs w:val="32"/>
        </w:rPr>
        <w:t>县级以上气象主管机构应当加强对重点单位的气象灾害防御工作的指导和监督管理，建立健全相关制度标准。</w:t>
      </w:r>
    </w:p>
    <w:p w14:paraId="2866207D">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b/>
          <w:bCs/>
          <w:color w:val="000000"/>
          <w:kern w:val="0"/>
          <w:szCs w:val="32"/>
        </w:rPr>
      </w:pPr>
      <w:r>
        <w:rPr>
          <w:rFonts w:hint="eastAsia" w:ascii="仿宋_GB2312" w:hAnsi="微软雅黑" w:cs="宋体"/>
          <w:color w:val="000000"/>
          <w:kern w:val="0"/>
          <w:szCs w:val="32"/>
        </w:rPr>
        <w:t>发展改革、教育、工业和信息化、自然资源、生态环境、住房城乡建设、交通运输、水利、农业农村、文化和旅游、卫生健康、应急管理、体育、林业草原等部门按照职责分工做好本行业、本领域重点单位气象安全管理工作。</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66C5CBF2">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黑体" w:hAnsi="黑体" w:eastAsia="黑体" w:cs="Times New Roman"/>
          <w:sz w:val="32"/>
          <w:szCs w:val="32"/>
        </w:rPr>
        <w:t>第五条【名录确定】</w:t>
      </w:r>
      <w:r>
        <w:rPr>
          <w:rFonts w:hint="eastAsia" w:ascii="黑体" w:hAnsi="黑体" w:eastAsia="黑体" w:cs="Times New Roman"/>
          <w:sz w:val="32"/>
          <w:szCs w:val="32"/>
          <w:lang w:val="en-US" w:eastAsia="zh-CN"/>
        </w:rPr>
        <w:t xml:space="preserve"> </w:t>
      </w:r>
      <w:r>
        <w:rPr>
          <w:rFonts w:hint="eastAsia" w:ascii="仿宋_GB2312" w:hAnsi="微软雅黑" w:cs="宋体"/>
          <w:color w:val="000000"/>
          <w:kern w:val="0"/>
          <w:szCs w:val="32"/>
        </w:rPr>
        <w:t>县级人民政府相关部门应当会同同级气象主管机构，根据本办法有关规定和国家有关标准</w:t>
      </w:r>
      <w:r>
        <w:rPr>
          <w:color w:val="000000"/>
        </w:rPr>
        <w:fldChar w:fldCharType="begin"/>
      </w:r>
      <w:r>
        <w:rPr>
          <w:color w:val="000000"/>
        </w:rPr>
        <w:instrText xml:space="preserve"> HYPERLINK "javascript:void(0);" </w:instrText>
      </w:r>
      <w:r>
        <w:rPr>
          <w:color w:val="000000"/>
        </w:rPr>
        <w:fldChar w:fldCharType="separate"/>
      </w:r>
      <w:r>
        <w:rPr>
          <w:color w:val="000000"/>
        </w:rPr>
        <w:fldChar w:fldCharType="end"/>
      </w:r>
      <w:r>
        <w:rPr>
          <w:rFonts w:hint="eastAsia" w:ascii="仿宋_GB2312" w:hAnsi="微软雅黑" w:cs="宋体"/>
          <w:color w:val="000000"/>
          <w:kern w:val="0"/>
          <w:szCs w:val="32"/>
        </w:rPr>
        <w:t>拟定重点单位名录，报同级人民政府审定后向社会公布。</w:t>
      </w:r>
    </w:p>
    <w:p w14:paraId="494563AB">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b/>
          <w:bCs/>
          <w:color w:val="000000"/>
          <w:kern w:val="0"/>
          <w:szCs w:val="32"/>
        </w:rPr>
      </w:pPr>
      <w:r>
        <w:rPr>
          <w:rFonts w:hint="eastAsia" w:ascii="仿宋_GB2312" w:hAnsi="微软雅黑" w:cs="宋体"/>
          <w:color w:val="000000"/>
          <w:kern w:val="0"/>
          <w:szCs w:val="32"/>
        </w:rPr>
        <w:t>未设立气象主管机构的县（市、区）重点单位的确定由所属州、市（地）人民政府（行政公署）气象主管机构按照前款规定拟定重点单位名录，报同级人民政府审定后向社会公布。</w:t>
      </w:r>
    </w:p>
    <w:p w14:paraId="043B9771">
      <w:pPr>
        <w:keepNext w:val="0"/>
        <w:keepLines w:val="0"/>
        <w:pageBreakBefore w:val="0"/>
        <w:widowControl/>
        <w:shd w:val="clear" w:color="auto" w:fill="FFFFFF"/>
        <w:kinsoku/>
        <w:wordWrap/>
        <w:overflowPunct/>
        <w:topLinePunct w:val="0"/>
        <w:autoSpaceDE/>
        <w:autoSpaceDN/>
        <w:bidi w:val="0"/>
        <w:adjustRightInd/>
        <w:snapToGrid/>
        <w:ind w:firstLine="634"/>
        <w:rPr>
          <w:rFonts w:ascii="微软雅黑" w:hAnsi="微软雅黑" w:eastAsia="微软雅黑" w:cs="宋体"/>
          <w:color w:val="000000"/>
          <w:kern w:val="0"/>
          <w:szCs w:val="32"/>
        </w:rPr>
      </w:pPr>
      <w:r>
        <w:rPr>
          <w:rFonts w:hint="eastAsia" w:ascii="黑体" w:hAnsi="黑体" w:eastAsia="黑体" w:cs="Times New Roman"/>
          <w:sz w:val="32"/>
          <w:szCs w:val="32"/>
        </w:rPr>
        <w:t>第六条【确定因素】</w:t>
      </w:r>
      <w:r>
        <w:rPr>
          <w:rFonts w:hint="eastAsia" w:ascii="黑体" w:hAnsi="黑体" w:eastAsia="黑体" w:cs="Times New Roman"/>
          <w:sz w:val="32"/>
          <w:szCs w:val="32"/>
          <w:lang w:val="en-US" w:eastAsia="zh-CN"/>
        </w:rPr>
        <w:t xml:space="preserve"> </w:t>
      </w:r>
      <w:r>
        <w:rPr>
          <w:rFonts w:hint="eastAsia" w:ascii="仿宋_GB2312" w:hAnsi="微软雅黑" w:cs="宋体"/>
          <w:color w:val="000000"/>
          <w:kern w:val="0"/>
          <w:szCs w:val="32"/>
        </w:rPr>
        <w:t>确定重点单位应当综合考虑以下因素：</w:t>
      </w:r>
    </w:p>
    <w:p w14:paraId="0216EECF">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（一）单位所处区域的气象灾害风险等级；</w:t>
      </w:r>
    </w:p>
    <w:p w14:paraId="58697EE1">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（二）单位的位置及其所处区域的地形、地质、地貌、气象、环境等条件；</w:t>
      </w:r>
    </w:p>
    <w:p w14:paraId="5E3675E8">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（三）单位的工作特性及其对经济社会发展和民生保障的重要性；</w:t>
      </w:r>
    </w:p>
    <w:p w14:paraId="5C9A3381">
      <w:pPr>
        <w:keepNext w:val="0"/>
        <w:keepLines w:val="0"/>
        <w:pageBreakBefore w:val="0"/>
        <w:widowControl/>
        <w:shd w:val="clear" w:color="auto" w:fill="FFFFFF"/>
        <w:kinsoku/>
        <w:wordWrap/>
        <w:overflowPunct/>
        <w:topLinePunct w:val="0"/>
        <w:autoSpaceDE/>
        <w:autoSpaceDN/>
        <w:bidi w:val="0"/>
        <w:adjustRightInd/>
        <w:snapToGrid/>
        <w:ind w:firstLine="645"/>
        <w:jc w:val="left"/>
        <w:rPr>
          <w:rFonts w:hint="eastAsia" w:ascii="仿宋_GB2312" w:hAnsi="微软雅黑" w:cs="宋体"/>
          <w:color w:val="000000"/>
          <w:kern w:val="0"/>
          <w:szCs w:val="32"/>
        </w:rPr>
      </w:pPr>
      <w:r>
        <w:rPr>
          <w:rFonts w:hint="eastAsia" w:ascii="仿宋_GB2312" w:hAnsi="微软雅黑" w:cs="宋体"/>
          <w:color w:val="000000"/>
          <w:kern w:val="0"/>
          <w:szCs w:val="32"/>
        </w:rPr>
        <w:t>（四）遭受灾害性天气时可能造成的损失程度。</w:t>
      </w:r>
    </w:p>
    <w:p w14:paraId="37F00D2F">
      <w:pPr>
        <w:keepNext w:val="0"/>
        <w:keepLines w:val="0"/>
        <w:pageBreakBefore w:val="0"/>
        <w:widowControl/>
        <w:shd w:val="clear" w:color="auto" w:fill="FFFFFF"/>
        <w:kinsoku/>
        <w:wordWrap/>
        <w:overflowPunct/>
        <w:topLinePunct w:val="0"/>
        <w:autoSpaceDE/>
        <w:autoSpaceDN/>
        <w:bidi w:val="0"/>
        <w:adjustRightInd/>
        <w:snapToGrid/>
        <w:ind w:firstLine="645"/>
        <w:jc w:val="left"/>
        <w:rPr>
          <w:rFonts w:hint="eastAsia" w:ascii="仿宋_GB2312" w:hAnsi="微软雅黑" w:cs="宋体"/>
          <w:color w:val="000000"/>
          <w:kern w:val="0"/>
          <w:szCs w:val="32"/>
        </w:rPr>
      </w:pPr>
      <w:r>
        <w:rPr>
          <w:rFonts w:hint="eastAsia" w:ascii="黑体" w:hAnsi="黑体" w:eastAsia="黑体" w:cs="Times New Roman"/>
          <w:sz w:val="32"/>
          <w:szCs w:val="32"/>
        </w:rPr>
        <w:t>第七条【可以确定的重点单位】</w:t>
      </w:r>
      <w:r>
        <w:rPr>
          <w:rFonts w:hint="eastAsia" w:ascii="黑体" w:hAnsi="黑体" w:eastAsia="黑体" w:cs="Times New Roman"/>
          <w:sz w:val="32"/>
          <w:szCs w:val="32"/>
          <w:lang w:val="en-US" w:eastAsia="zh-CN"/>
        </w:rPr>
        <w:t xml:space="preserve"> </w:t>
      </w:r>
      <w:r>
        <w:rPr>
          <w:rFonts w:hint="eastAsia" w:ascii="仿宋_GB2312" w:hAnsi="微软雅黑" w:cs="宋体"/>
          <w:color w:val="000000"/>
          <w:kern w:val="0"/>
          <w:szCs w:val="32"/>
        </w:rPr>
        <w:t>下列单位可以确定为重点单位：</w:t>
      </w:r>
    </w:p>
    <w:p w14:paraId="754CCCD6">
      <w:pPr>
        <w:pStyle w:val="3"/>
        <w:keepNext w:val="0"/>
        <w:keepLines w:val="0"/>
        <w:pageBreakBefore w:val="0"/>
        <w:kinsoku/>
        <w:wordWrap/>
        <w:overflowPunct/>
        <w:topLinePunct w:val="0"/>
        <w:autoSpaceDE/>
        <w:autoSpaceDN/>
        <w:bidi w:val="0"/>
        <w:adjustRightInd/>
        <w:snapToGrid/>
        <w:ind w:firstLine="632"/>
        <w:rPr>
          <w:rFonts w:hint="eastAsia"/>
          <w:color w:val="000000"/>
        </w:rPr>
      </w:pPr>
      <w:r>
        <w:rPr>
          <w:rFonts w:hint="eastAsia"/>
          <w:color w:val="000000"/>
        </w:rPr>
        <w:t>（一）学校（含幼儿园）、医院以、火车站、民用机场、轨道交通、高速公路、客运车站、</w:t>
      </w:r>
      <w:r>
        <w:rPr>
          <w:rFonts w:hint="eastAsia" w:ascii="仿宋_GB2312" w:hAnsi="微软雅黑" w:cs="宋体"/>
          <w:color w:val="000000"/>
          <w:kern w:val="0"/>
          <w:szCs w:val="32"/>
        </w:rPr>
        <w:t>大型文化体育场馆和游乐场</w:t>
      </w:r>
      <w:r>
        <w:rPr>
          <w:rFonts w:hint="eastAsia"/>
          <w:color w:val="000000"/>
        </w:rPr>
        <w:t>等人员密集场所的经营管理单位；</w:t>
      </w:r>
    </w:p>
    <w:p w14:paraId="0B76A4BF">
      <w:pPr>
        <w:pStyle w:val="3"/>
        <w:keepNext w:val="0"/>
        <w:keepLines w:val="0"/>
        <w:pageBreakBefore w:val="0"/>
        <w:kinsoku/>
        <w:wordWrap/>
        <w:overflowPunct/>
        <w:topLinePunct w:val="0"/>
        <w:autoSpaceDE/>
        <w:autoSpaceDN/>
        <w:bidi w:val="0"/>
        <w:adjustRightInd/>
        <w:snapToGrid/>
        <w:ind w:firstLine="632"/>
        <w:rPr>
          <w:rFonts w:hint="eastAsia"/>
          <w:color w:val="000000"/>
        </w:rPr>
      </w:pPr>
      <w:r>
        <w:rPr>
          <w:rFonts w:hint="eastAsia"/>
          <w:color w:val="000000"/>
        </w:rPr>
        <w:t>（二）易燃易爆、有毒有害等危险物品的生产、充装、储存、供应、运输或者销售单位；</w:t>
      </w:r>
    </w:p>
    <w:p w14:paraId="768A1EAC">
      <w:pPr>
        <w:pStyle w:val="3"/>
        <w:keepNext w:val="0"/>
        <w:keepLines w:val="0"/>
        <w:pageBreakBefore w:val="0"/>
        <w:kinsoku/>
        <w:wordWrap/>
        <w:overflowPunct/>
        <w:topLinePunct w:val="0"/>
        <w:autoSpaceDE/>
        <w:autoSpaceDN/>
        <w:bidi w:val="0"/>
        <w:adjustRightInd/>
        <w:snapToGrid/>
        <w:ind w:firstLine="632"/>
        <w:rPr>
          <w:rFonts w:hint="eastAsia"/>
          <w:color w:val="000000"/>
        </w:rPr>
      </w:pPr>
      <w:r>
        <w:rPr>
          <w:rFonts w:hint="eastAsia"/>
          <w:color w:val="000000"/>
        </w:rPr>
        <w:t>（三）重大基础设施、大型工程、公共工程等在建工程的业主单位；</w:t>
      </w:r>
    </w:p>
    <w:p w14:paraId="397BA9FC">
      <w:pPr>
        <w:pStyle w:val="3"/>
        <w:keepNext w:val="0"/>
        <w:keepLines w:val="0"/>
        <w:pageBreakBefore w:val="0"/>
        <w:kinsoku/>
        <w:wordWrap/>
        <w:overflowPunct/>
        <w:topLinePunct w:val="0"/>
        <w:autoSpaceDE/>
        <w:autoSpaceDN/>
        <w:bidi w:val="0"/>
        <w:adjustRightInd/>
        <w:snapToGrid/>
        <w:ind w:firstLine="632"/>
        <w:rPr>
          <w:rFonts w:hint="eastAsia"/>
          <w:color w:val="000000"/>
        </w:rPr>
      </w:pPr>
      <w:r>
        <w:rPr>
          <w:rFonts w:hint="eastAsia"/>
          <w:color w:val="000000"/>
        </w:rPr>
        <w:t>（四）供水、电力、燃气、供热、通信、广电等对国计民生有重大影响的企事业单位；</w:t>
      </w:r>
    </w:p>
    <w:p w14:paraId="3C57CACD">
      <w:pPr>
        <w:pStyle w:val="3"/>
        <w:keepNext w:val="0"/>
        <w:keepLines w:val="0"/>
        <w:pageBreakBefore w:val="0"/>
        <w:kinsoku/>
        <w:wordWrap/>
        <w:overflowPunct/>
        <w:topLinePunct w:val="0"/>
        <w:autoSpaceDE/>
        <w:autoSpaceDN/>
        <w:bidi w:val="0"/>
        <w:adjustRightInd/>
        <w:snapToGrid/>
        <w:ind w:firstLine="632"/>
        <w:rPr>
          <w:rFonts w:hint="eastAsia"/>
          <w:color w:val="000000"/>
        </w:rPr>
      </w:pPr>
      <w:r>
        <w:rPr>
          <w:rFonts w:hint="eastAsia"/>
          <w:color w:val="000000"/>
        </w:rPr>
        <w:t>（五）</w:t>
      </w:r>
      <w:r>
        <w:rPr>
          <w:rFonts w:hint="eastAsia" w:ascii="仿宋_GB2312" w:hAnsi="微软雅黑" w:cs="宋体"/>
          <w:color w:val="000000"/>
          <w:kern w:val="0"/>
          <w:szCs w:val="32"/>
        </w:rPr>
        <w:t>大型旅游景区、主题公园、风景区的经营管理单位，大型文化体育赛事活动的主办单位或承办单位，省级以上重点文物保护单位和文物收藏单位</w:t>
      </w:r>
      <w:r>
        <w:rPr>
          <w:rFonts w:hint="eastAsia"/>
          <w:color w:val="000000"/>
        </w:rPr>
        <w:t>；</w:t>
      </w:r>
    </w:p>
    <w:p w14:paraId="6555FE98">
      <w:pPr>
        <w:pStyle w:val="3"/>
        <w:keepNext w:val="0"/>
        <w:keepLines w:val="0"/>
        <w:pageBreakBefore w:val="0"/>
        <w:kinsoku/>
        <w:wordWrap/>
        <w:overflowPunct/>
        <w:topLinePunct w:val="0"/>
        <w:autoSpaceDE/>
        <w:autoSpaceDN/>
        <w:bidi w:val="0"/>
        <w:adjustRightInd/>
        <w:snapToGrid/>
        <w:ind w:firstLine="632"/>
        <w:rPr>
          <w:rFonts w:hint="eastAsia"/>
          <w:color w:val="000000"/>
        </w:rPr>
      </w:pPr>
      <w:r>
        <w:rPr>
          <w:rFonts w:hint="eastAsia"/>
          <w:color w:val="000000"/>
        </w:rPr>
        <w:t>（六）大型生产、制造业、大型劳动密集型企业；</w:t>
      </w:r>
    </w:p>
    <w:p w14:paraId="7AA7B36A">
      <w:pPr>
        <w:pStyle w:val="4"/>
        <w:keepNext w:val="0"/>
        <w:keepLines w:val="0"/>
        <w:pageBreakBefore w:val="0"/>
        <w:kinsoku/>
        <w:wordWrap/>
        <w:overflowPunct/>
        <w:topLinePunct w:val="0"/>
        <w:autoSpaceDE/>
        <w:autoSpaceDN/>
        <w:bidi w:val="0"/>
        <w:adjustRightInd/>
        <w:snapToGrid/>
        <w:spacing w:line="560" w:lineRule="exact"/>
        <w:ind w:firstLine="632" w:firstLineChars="200"/>
        <w:rPr>
          <w:color w:val="000000"/>
        </w:rPr>
      </w:pPr>
      <w:r>
        <w:rPr>
          <w:rFonts w:hint="eastAsia" w:ascii="仿宋_GB2312" w:hAnsi="微软雅黑" w:cs="宋体"/>
          <w:color w:val="000000"/>
          <w:kern w:val="0"/>
          <w:sz w:val="32"/>
          <w:szCs w:val="32"/>
        </w:rPr>
        <w:t>（七）</w:t>
      </w:r>
      <w:r>
        <w:rPr>
          <w:color w:val="000000"/>
          <w:sz w:val="32"/>
          <w:szCs w:val="22"/>
        </w:rPr>
        <w:t>大中型水库的经营管理单位</w:t>
      </w:r>
      <w:r>
        <w:rPr>
          <w:rFonts w:hint="eastAsia"/>
          <w:color w:val="000000"/>
          <w:sz w:val="32"/>
          <w:szCs w:val="22"/>
        </w:rPr>
        <w:t>以及大型灌区等水利工程运营（行）单位</w:t>
      </w:r>
      <w:r>
        <w:rPr>
          <w:color w:val="000000"/>
          <w:sz w:val="32"/>
          <w:szCs w:val="22"/>
        </w:rPr>
        <w:t>；</w:t>
      </w:r>
      <w:r>
        <w:rPr>
          <w:color w:val="000000"/>
        </w:rPr>
        <w:fldChar w:fldCharType="begin"/>
      </w:r>
      <w:r>
        <w:rPr>
          <w:color w:val="000000"/>
        </w:rPr>
        <w:instrText xml:space="preserve"> HYPERLINK "javascript:void(0);" </w:instrText>
      </w:r>
      <w:r>
        <w:rPr>
          <w:color w:val="000000"/>
        </w:rPr>
        <w:fldChar w:fldCharType="separate"/>
      </w:r>
      <w:r>
        <w:rPr>
          <w:color w:val="000000"/>
        </w:rPr>
        <w:fldChar w:fldCharType="end"/>
      </w:r>
    </w:p>
    <w:p w14:paraId="2DE641E2">
      <w:pPr>
        <w:keepNext w:val="0"/>
        <w:keepLines w:val="0"/>
        <w:pageBreakBefore w:val="0"/>
        <w:widowControl/>
        <w:shd w:val="clear" w:color="auto" w:fill="FFFFFF"/>
        <w:kinsoku/>
        <w:wordWrap/>
        <w:overflowPunct/>
        <w:topLinePunct w:val="0"/>
        <w:autoSpaceDE/>
        <w:autoSpaceDN/>
        <w:bidi w:val="0"/>
        <w:adjustRightInd/>
        <w:snapToGrid/>
        <w:ind w:firstLine="632" w:firstLineChars="200"/>
        <w:jc w:val="left"/>
        <w:rPr>
          <w:rFonts w:hint="eastAsia" w:ascii="仿宋_GB2312" w:hAnsi="微软雅黑" w:cs="宋体"/>
          <w:color w:val="000000"/>
          <w:kern w:val="0"/>
          <w:szCs w:val="32"/>
        </w:rPr>
      </w:pPr>
      <w:r>
        <w:rPr>
          <w:rFonts w:hint="eastAsia" w:ascii="仿宋_GB2312" w:hAnsi="微软雅黑" w:cs="宋体"/>
          <w:color w:val="000000"/>
          <w:kern w:val="0"/>
          <w:szCs w:val="32"/>
        </w:rPr>
        <w:t>（八）</w:t>
      </w:r>
      <w:r>
        <w:rPr>
          <w:color w:val="000000"/>
        </w:rPr>
        <w:t>矿山、重点尾矿库或者正在生产的</w:t>
      </w:r>
      <w:r>
        <w:rPr>
          <w:rFonts w:hint="eastAsia"/>
          <w:color w:val="000000"/>
        </w:rPr>
        <w:t>尾矿库</w:t>
      </w:r>
      <w:r>
        <w:rPr>
          <w:color w:val="000000"/>
        </w:rPr>
        <w:t>的经营管理单位；</w:t>
      </w:r>
    </w:p>
    <w:p w14:paraId="0ED77B07">
      <w:pPr>
        <w:pStyle w:val="3"/>
        <w:keepNext w:val="0"/>
        <w:keepLines w:val="0"/>
        <w:pageBreakBefore w:val="0"/>
        <w:kinsoku/>
        <w:wordWrap/>
        <w:overflowPunct/>
        <w:topLinePunct w:val="0"/>
        <w:autoSpaceDE/>
        <w:autoSpaceDN/>
        <w:bidi w:val="0"/>
        <w:adjustRightInd/>
        <w:snapToGrid/>
        <w:ind w:firstLine="632"/>
        <w:rPr>
          <w:color w:val="000000"/>
        </w:rPr>
      </w:pPr>
      <w:r>
        <w:rPr>
          <w:rFonts w:hint="eastAsia" w:ascii="仿宋_GB2312" w:hAnsi="微软雅黑" w:cs="宋体"/>
          <w:color w:val="000000"/>
          <w:kern w:val="0"/>
          <w:szCs w:val="32"/>
        </w:rPr>
        <w:t>（九）</w:t>
      </w:r>
      <w:r>
        <w:rPr>
          <w:rFonts w:hint="eastAsia"/>
          <w:color w:val="000000"/>
        </w:rPr>
        <w:t>其他因气象灾害容易造成人员伤亡、较大财产损失或者发生生产安全事故的单位。</w:t>
      </w:r>
    </w:p>
    <w:p w14:paraId="071FA0D1">
      <w:pPr>
        <w:keepNext w:val="0"/>
        <w:keepLines w:val="0"/>
        <w:pageBreakBefore w:val="0"/>
        <w:widowControl/>
        <w:shd w:val="clear" w:color="auto" w:fill="FFFFFF"/>
        <w:kinsoku/>
        <w:wordWrap/>
        <w:overflowPunct/>
        <w:topLinePunct w:val="0"/>
        <w:autoSpaceDE/>
        <w:autoSpaceDN/>
        <w:bidi w:val="0"/>
        <w:adjustRightInd/>
        <w:snapToGrid/>
        <w:ind w:firstLine="632" w:firstLineChars="200"/>
        <w:jc w:val="left"/>
        <w:rPr>
          <w:rFonts w:hint="eastAsia" w:ascii="仿宋_GB2312" w:hAnsi="微软雅黑" w:cs="宋体"/>
          <w:color w:val="000000"/>
          <w:kern w:val="0"/>
          <w:szCs w:val="32"/>
        </w:rPr>
      </w:pPr>
      <w:r>
        <w:rPr>
          <w:rFonts w:hint="eastAsia" w:ascii="黑体" w:hAnsi="黑体" w:eastAsia="黑体" w:cs="Times New Roman"/>
          <w:sz w:val="32"/>
          <w:szCs w:val="32"/>
        </w:rPr>
        <w:t>第八条【应当确定的重点单位】</w:t>
      </w:r>
      <w:r>
        <w:rPr>
          <w:rStyle w:val="9"/>
          <w:rFonts w:hint="eastAsia" w:ascii="微软雅黑" w:hAnsi="微软雅黑" w:eastAsia="微软雅黑" w:cs="微软雅黑"/>
          <w:bCs w:val="0"/>
          <w:color w:val="000000"/>
        </w:rPr>
        <w:t xml:space="preserve"> </w:t>
      </w:r>
      <w:r>
        <w:rPr>
          <w:rFonts w:hint="eastAsia" w:ascii="仿宋_GB2312" w:hAnsi="微软雅黑" w:cs="宋体"/>
          <w:color w:val="000000"/>
          <w:kern w:val="0"/>
          <w:szCs w:val="32"/>
        </w:rPr>
        <w:t>县级以上气象主管机构应当会同同级行业主管部门综合考虑相关因素，将本办法第六七条所列单位中符合下列条件之一的，应当确定为重点单位：</w:t>
      </w:r>
    </w:p>
    <w:p w14:paraId="656B0DBB">
      <w:pPr>
        <w:keepNext w:val="0"/>
        <w:keepLines w:val="0"/>
        <w:pageBreakBefore w:val="0"/>
        <w:widowControl/>
        <w:shd w:val="clear" w:color="auto" w:fill="FFFFFF"/>
        <w:kinsoku/>
        <w:wordWrap/>
        <w:overflowPunct/>
        <w:topLinePunct w:val="0"/>
        <w:autoSpaceDE/>
        <w:autoSpaceDN/>
        <w:bidi w:val="0"/>
        <w:adjustRightInd/>
        <w:snapToGrid/>
        <w:ind w:firstLine="632" w:firstLineChars="200"/>
        <w:jc w:val="left"/>
        <w:rPr>
          <w:rFonts w:hint="eastAsia" w:ascii="仿宋_GB2312" w:hAnsi="微软雅黑" w:cs="宋体"/>
          <w:color w:val="000000"/>
          <w:kern w:val="0"/>
          <w:szCs w:val="32"/>
        </w:rPr>
      </w:pPr>
      <w:r>
        <w:rPr>
          <w:rFonts w:hint="eastAsia" w:ascii="仿宋_GB2312" w:hAnsi="微软雅黑" w:cs="宋体"/>
          <w:color w:val="000000"/>
          <w:kern w:val="0"/>
          <w:szCs w:val="32"/>
        </w:rPr>
        <w:t>（一）曾经发生气象灾害或者次生、衍生灾害，造成人员伤亡或者较大财产损失的单位；</w:t>
      </w:r>
    </w:p>
    <w:p w14:paraId="6E14B0DA">
      <w:pPr>
        <w:keepNext w:val="0"/>
        <w:keepLines w:val="0"/>
        <w:pageBreakBefore w:val="0"/>
        <w:widowControl/>
        <w:shd w:val="clear" w:color="auto" w:fill="FFFFFF"/>
        <w:kinsoku/>
        <w:wordWrap/>
        <w:overflowPunct/>
        <w:topLinePunct w:val="0"/>
        <w:autoSpaceDE/>
        <w:autoSpaceDN/>
        <w:bidi w:val="0"/>
        <w:adjustRightInd/>
        <w:snapToGrid/>
        <w:ind w:firstLine="645"/>
        <w:jc w:val="left"/>
        <w:rPr>
          <w:color w:val="000000"/>
        </w:rPr>
      </w:pPr>
      <w:r>
        <w:rPr>
          <w:rFonts w:hint="eastAsia" w:ascii="仿宋_GB2312" w:hAnsi="微软雅黑" w:cs="宋体"/>
          <w:color w:val="000000"/>
          <w:kern w:val="0"/>
          <w:szCs w:val="32"/>
        </w:rPr>
        <w:t>（二）同时对三种以上灾害性天气高敏感的单位。</w:t>
      </w:r>
    </w:p>
    <w:p w14:paraId="46A9032D">
      <w:pPr>
        <w:keepNext w:val="0"/>
        <w:keepLines w:val="0"/>
        <w:pageBreakBefore w:val="0"/>
        <w:widowControl/>
        <w:kinsoku/>
        <w:wordWrap/>
        <w:overflowPunct/>
        <w:topLinePunct w:val="0"/>
        <w:autoSpaceDE/>
        <w:autoSpaceDN/>
        <w:bidi w:val="0"/>
        <w:adjustRightInd/>
        <w:snapToGrid/>
        <w:ind w:firstLine="632" w:firstLineChars="200"/>
        <w:jc w:val="left"/>
        <w:rPr>
          <w:rFonts w:hint="eastAsia" w:ascii="仿宋_GB2312" w:hAnsi="微软雅黑" w:cs="宋体"/>
          <w:color w:val="000000"/>
          <w:kern w:val="0"/>
          <w:szCs w:val="32"/>
        </w:rPr>
      </w:pPr>
      <w:r>
        <w:rPr>
          <w:rFonts w:hint="eastAsia" w:ascii="仿宋_GB2312" w:hAnsi="微软雅黑" w:cs="宋体"/>
          <w:color w:val="000000"/>
          <w:kern w:val="0"/>
          <w:szCs w:val="32"/>
        </w:rPr>
        <w:t>油库、气库、弹药库、危险化学品仓库、加油加气站的经营管理单位以及石化等易燃易爆场所的生产经营单位，由气象主管机构会同行业主管部门列入重点单位名录，报本级人民政府审定后公布。</w:t>
      </w:r>
    </w:p>
    <w:p w14:paraId="59F0591D">
      <w:pPr>
        <w:pStyle w:val="4"/>
        <w:keepNext w:val="0"/>
        <w:keepLines w:val="0"/>
        <w:pageBreakBefore w:val="0"/>
        <w:kinsoku/>
        <w:wordWrap/>
        <w:overflowPunct/>
        <w:topLinePunct w:val="0"/>
        <w:autoSpaceDE/>
        <w:autoSpaceDN/>
        <w:bidi w:val="0"/>
        <w:adjustRightInd/>
        <w:snapToGrid/>
        <w:spacing w:line="560" w:lineRule="exact"/>
        <w:ind w:firstLine="632" w:firstLineChars="200"/>
        <w:rPr>
          <w:rFonts w:hint="eastAsia" w:ascii="仿宋_GB2312" w:hAnsi="微软雅黑" w:cs="宋体"/>
          <w:color w:val="000000"/>
          <w:kern w:val="0"/>
          <w:sz w:val="32"/>
          <w:szCs w:val="32"/>
        </w:rPr>
      </w:pPr>
      <w:r>
        <w:rPr>
          <w:rFonts w:hint="eastAsia" w:ascii="黑体" w:hAnsi="黑体" w:eastAsia="黑体" w:cs="Times New Roman"/>
          <w:kern w:val="2"/>
          <w:sz w:val="32"/>
          <w:szCs w:val="32"/>
          <w:lang w:val="en-US" w:eastAsia="zh-CN" w:bidi="ar-SA"/>
        </w:rPr>
        <w:t>第九条【评审和调整】</w:t>
      </w:r>
      <w:r>
        <w:rPr>
          <w:rStyle w:val="9"/>
          <w:rFonts w:hint="eastAsia" w:ascii="方正小标宋_GBK" w:hAnsi="方正小标宋_GBK" w:eastAsia="方正小标宋_GBK" w:cs="方正小标宋_GBK"/>
          <w:bCs w:val="0"/>
          <w:color w:val="000000"/>
        </w:rPr>
        <w:t xml:space="preserve"> </w:t>
      </w:r>
      <w:r>
        <w:rPr>
          <w:rFonts w:hint="eastAsia" w:ascii="仿宋_GB2312" w:hAnsi="微软雅黑" w:cs="宋体"/>
          <w:color w:val="000000"/>
          <w:kern w:val="0"/>
          <w:sz w:val="32"/>
          <w:szCs w:val="32"/>
        </w:rPr>
        <w:t>州</w:t>
      </w:r>
      <w:r>
        <w:rPr>
          <w:rFonts w:hint="eastAsia" w:ascii="仿宋_GB2312" w:hAnsi="微软雅黑" w:cs="宋体"/>
          <w:color w:val="000000"/>
          <w:kern w:val="0"/>
          <w:sz w:val="32"/>
          <w:szCs w:val="32"/>
          <w:lang w:eastAsia="zh-CN"/>
        </w:rPr>
        <w:t>、</w:t>
      </w:r>
      <w:r>
        <w:rPr>
          <w:rFonts w:hint="eastAsia" w:ascii="仿宋_GB2312" w:hAnsi="微软雅黑" w:cs="宋体"/>
          <w:color w:val="000000"/>
          <w:kern w:val="0"/>
          <w:sz w:val="32"/>
          <w:szCs w:val="32"/>
        </w:rPr>
        <w:t>市</w:t>
      </w:r>
      <w:r>
        <w:rPr>
          <w:rFonts w:hint="eastAsia" w:ascii="仿宋_GB2312" w:hAnsi="微软雅黑" w:cs="宋体"/>
          <w:color w:val="000000"/>
          <w:kern w:val="0"/>
          <w:sz w:val="32"/>
          <w:szCs w:val="32"/>
          <w:lang w:eastAsia="zh-CN"/>
        </w:rPr>
        <w:t>（</w:t>
      </w:r>
      <w:r>
        <w:rPr>
          <w:rFonts w:hint="eastAsia" w:ascii="仿宋_GB2312" w:hAnsi="微软雅黑" w:cs="宋体"/>
          <w:color w:val="000000"/>
          <w:kern w:val="0"/>
          <w:sz w:val="32"/>
          <w:szCs w:val="32"/>
        </w:rPr>
        <w:t>地）</w:t>
      </w:r>
      <w:r>
        <w:rPr>
          <w:rFonts w:hint="eastAsia" w:ascii="仿宋_GB2312" w:hAnsi="微软雅黑" w:cs="宋体"/>
          <w:color w:val="000000"/>
          <w:kern w:val="0"/>
          <w:sz w:val="32"/>
          <w:szCs w:val="32"/>
          <w:lang w:eastAsia="zh-CN"/>
        </w:rPr>
        <w:t>、</w:t>
      </w:r>
      <w:r>
        <w:rPr>
          <w:rFonts w:hint="eastAsia" w:ascii="仿宋_GB2312" w:hAnsi="微软雅黑" w:cs="宋体"/>
          <w:color w:val="000000"/>
          <w:kern w:val="0"/>
          <w:sz w:val="32"/>
          <w:szCs w:val="32"/>
        </w:rPr>
        <w:t>县（市、区）气象主管机构应当组织专家或者委托第三方专业机构对拟定的重点单位进行评审，评审结果报同级人民政府。评审不得向被评审单位收取任何费用。</w:t>
      </w:r>
    </w:p>
    <w:p w14:paraId="7DC824C7">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ascii="微软雅黑" w:hAnsi="微软雅黑" w:eastAsia="微软雅黑" w:cs="宋体"/>
          <w:color w:val="000000"/>
          <w:kern w:val="0"/>
          <w:szCs w:val="32"/>
        </w:rPr>
      </w:pPr>
      <w:r>
        <w:rPr>
          <w:rFonts w:hint="eastAsia" w:ascii="仿宋_GB2312" w:hAnsi="微软雅黑" w:cs="宋体"/>
          <w:color w:val="000000"/>
          <w:kern w:val="0"/>
          <w:szCs w:val="32"/>
        </w:rPr>
        <w:t>重点单位名录应当每两年更新一次。重点单位的性质、规模、所处位置等发生重大改变，不再符合本办法规定的，应当经县级以上行业主管部门会同同级气象主管机构组织核实后，及时报本级人民政府将该重点单位移出重点单位名录。</w:t>
      </w:r>
    </w:p>
    <w:p w14:paraId="32FD4E64">
      <w:pPr>
        <w:keepNext w:val="0"/>
        <w:keepLines w:val="0"/>
        <w:pageBreakBefore w:val="0"/>
        <w:widowControl/>
        <w:shd w:val="clear" w:color="auto" w:fill="FFFFFF"/>
        <w:kinsoku/>
        <w:wordWrap/>
        <w:overflowPunct/>
        <w:topLinePunct w:val="0"/>
        <w:autoSpaceDE/>
        <w:autoSpaceDN/>
        <w:bidi w:val="0"/>
        <w:adjustRightInd/>
        <w:snapToGrid/>
        <w:ind w:firstLine="645"/>
        <w:rPr>
          <w:rFonts w:ascii="微软雅黑" w:hAnsi="微软雅黑" w:eastAsia="微软雅黑" w:cs="宋体"/>
          <w:color w:val="000000"/>
          <w:kern w:val="0"/>
          <w:szCs w:val="32"/>
        </w:rPr>
      </w:pPr>
      <w:r>
        <w:rPr>
          <w:rFonts w:hint="eastAsia" w:ascii="黑体" w:hAnsi="黑体" w:eastAsia="黑体" w:cs="Times New Roman"/>
          <w:kern w:val="2"/>
          <w:sz w:val="32"/>
          <w:szCs w:val="32"/>
          <w:lang w:val="en-US" w:eastAsia="zh-CN" w:bidi="ar-SA"/>
        </w:rPr>
        <w:t xml:space="preserve">第十条【信息共享】 </w:t>
      </w:r>
      <w:r>
        <w:rPr>
          <w:rFonts w:hint="eastAsia" w:ascii="仿宋_GB2312" w:hAnsi="微软雅黑" w:cs="宋体"/>
          <w:color w:val="000000"/>
          <w:kern w:val="0"/>
          <w:szCs w:val="32"/>
        </w:rPr>
        <w:t>县级以上气象主管机构应当会同同级行业主管部门建立重点单位信息库和</w:t>
      </w:r>
      <w:r>
        <w:rPr>
          <w:rFonts w:hint="eastAsia" w:ascii="仿宋_GB2312" w:hAnsi="微软雅黑" w:cs="仿宋_GB2312"/>
          <w:color w:val="000000"/>
          <w:kern w:val="0"/>
          <w:szCs w:val="32"/>
          <w:shd w:val="clear" w:color="auto" w:fill="FFFFFF"/>
          <w:lang w:bidi="ar"/>
        </w:rPr>
        <w:t>信息共享机制，与行业主管部门、重点单位之间实现气象预报、气象灾害预警、气象灾情等信息的共享。</w:t>
      </w:r>
      <w:r>
        <w:rPr>
          <w:rFonts w:hint="eastAsia" w:ascii="宋体" w:hAnsi="宋体" w:cs="宋体"/>
          <w:color w:val="000000"/>
          <w:kern w:val="0"/>
          <w:szCs w:val="32"/>
        </w:rPr>
        <w:t> </w:t>
      </w:r>
      <w:r>
        <w:rPr>
          <w:rFonts w:hint="eastAsia" w:ascii="仿宋_GB2312" w:hAnsi="微软雅黑" w:cs="宋体"/>
          <w:color w:val="000000"/>
          <w:kern w:val="0"/>
          <w:szCs w:val="32"/>
        </w:rPr>
        <w:t>　　</w:t>
      </w:r>
    </w:p>
    <w:p w14:paraId="0D736470">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黑体" w:hAnsi="黑体" w:eastAsia="黑体" w:cs="Times New Roman"/>
          <w:kern w:val="2"/>
          <w:sz w:val="32"/>
          <w:szCs w:val="32"/>
          <w:lang w:val="en-US" w:eastAsia="zh-CN" w:bidi="ar-SA"/>
        </w:rPr>
        <w:t>第十一条</w:t>
      </w:r>
      <w:bookmarkStart w:id="0" w:name="tiao_12_kuan_1"/>
      <w:bookmarkEnd w:id="0"/>
      <w:r>
        <w:rPr>
          <w:rFonts w:hint="eastAsia" w:ascii="黑体" w:hAnsi="黑体" w:eastAsia="黑体" w:cs="Times New Roman"/>
          <w:kern w:val="2"/>
          <w:sz w:val="32"/>
          <w:szCs w:val="32"/>
          <w:lang w:val="en-US" w:eastAsia="zh-CN" w:bidi="ar-SA"/>
        </w:rPr>
        <w:t xml:space="preserve">【重点单位责任1】 </w:t>
      </w:r>
      <w:r>
        <w:rPr>
          <w:rFonts w:hint="eastAsia" w:ascii="仿宋_GB2312" w:hAnsi="微软雅黑" w:cs="宋体"/>
          <w:color w:val="000000"/>
          <w:kern w:val="0"/>
          <w:szCs w:val="32"/>
        </w:rPr>
        <w:t>重点单位应当做好本单位的气象灾害防御工作，落实气象灾害防御主体责任，接受气象主管机构和行业主管部门的指导和监督管理。</w:t>
      </w:r>
    </w:p>
    <w:p w14:paraId="5AD49750">
      <w:pPr>
        <w:keepNext w:val="0"/>
        <w:keepLines w:val="0"/>
        <w:pageBreakBefore w:val="0"/>
        <w:widowControl/>
        <w:shd w:val="clear" w:color="auto" w:fill="FFFFFF"/>
        <w:kinsoku/>
        <w:wordWrap/>
        <w:overflowPunct/>
        <w:topLinePunct w:val="0"/>
        <w:autoSpaceDE/>
        <w:autoSpaceDN/>
        <w:bidi w:val="0"/>
        <w:adjustRightInd/>
        <w:snapToGrid/>
        <w:ind w:firstLine="632" w:firstLineChars="200"/>
        <w:rPr>
          <w:rStyle w:val="9"/>
          <w:rFonts w:hint="eastAsia" w:ascii="仿宋_GB2312" w:hAnsi="仿宋_GB2312" w:eastAsia="仿宋_GB2312" w:cs="仿宋_GB2312"/>
          <w:b w:val="0"/>
          <w:color w:val="000000"/>
        </w:rPr>
      </w:pPr>
      <w:r>
        <w:rPr>
          <w:rStyle w:val="9"/>
          <w:rFonts w:hint="eastAsia" w:ascii="仿宋_GB2312" w:hAnsi="仿宋_GB2312" w:eastAsia="仿宋_GB2312" w:cs="仿宋_GB2312"/>
          <w:b w:val="0"/>
          <w:color w:val="000000"/>
        </w:rPr>
        <w:t>重点单位应当将气象灾害防御工作纳入本单位安全生产责任制，按照规定明确气象灾害防御责任部门、责任人及其职责，保障本单位气象灾害防御工作所需经费。</w:t>
      </w:r>
    </w:p>
    <w:p w14:paraId="5D5A774B">
      <w:pPr>
        <w:pStyle w:val="10"/>
        <w:keepNext w:val="0"/>
        <w:keepLines w:val="0"/>
        <w:pageBreakBefore w:val="0"/>
        <w:kinsoku/>
        <w:wordWrap/>
        <w:overflowPunct/>
        <w:topLinePunct w:val="0"/>
        <w:autoSpaceDE/>
        <w:autoSpaceDN/>
        <w:bidi w:val="0"/>
        <w:adjustRightInd/>
        <w:snapToGrid/>
        <w:ind w:firstLine="632" w:firstLineChars="200"/>
        <w:rPr>
          <w:rFonts w:hint="eastAsia" w:ascii="仿宋_GB2312" w:hAnsi="微软雅黑" w:cs="仿宋_GB2312"/>
          <w:color w:val="000000"/>
          <w:kern w:val="0"/>
          <w:sz w:val="32"/>
          <w:szCs w:val="32"/>
          <w:shd w:val="clear" w:color="auto" w:fill="FFFFFF"/>
          <w:lang w:bidi="ar"/>
        </w:rPr>
      </w:pPr>
      <w:r>
        <w:rPr>
          <w:rFonts w:hint="eastAsia" w:ascii="黑体" w:hAnsi="黑体" w:eastAsia="黑体" w:cs="Times New Roman"/>
          <w:kern w:val="2"/>
          <w:sz w:val="32"/>
          <w:szCs w:val="32"/>
          <w:vertAlign w:val="baseline"/>
          <w:lang w:val="en-US" w:eastAsia="zh-CN" w:bidi="ar-SA"/>
        </w:rPr>
        <w:t>第十二条</w:t>
      </w:r>
      <w:bookmarkStart w:id="1" w:name="tiao_14_kuan_1"/>
      <w:bookmarkEnd w:id="1"/>
      <w:r>
        <w:rPr>
          <w:rFonts w:hint="eastAsia" w:ascii="黑体" w:hAnsi="黑体" w:eastAsia="黑体" w:cs="Times New Roman"/>
          <w:kern w:val="2"/>
          <w:sz w:val="32"/>
          <w:szCs w:val="32"/>
          <w:vertAlign w:val="baseline"/>
          <w:lang w:val="en-US" w:eastAsia="zh-CN" w:bidi="ar-SA"/>
        </w:rPr>
        <w:t>【重点单位责任2】</w:t>
      </w:r>
      <w:r>
        <w:rPr>
          <w:rStyle w:val="9"/>
          <w:rFonts w:hint="eastAsia" w:ascii="方正小标宋_GBK" w:hAnsi="方正小标宋_GBK" w:eastAsia="方正小标宋_GBK" w:cs="方正小标宋_GBK"/>
          <w:bCs w:val="0"/>
          <w:color w:val="000000"/>
        </w:rPr>
        <w:t xml:space="preserve"> </w:t>
      </w:r>
      <w:r>
        <w:rPr>
          <w:rFonts w:hint="eastAsia" w:ascii="仿宋_GB2312" w:hAnsi="微软雅黑" w:cs="仿宋_GB2312"/>
          <w:color w:val="000000"/>
          <w:kern w:val="0"/>
          <w:sz w:val="32"/>
          <w:szCs w:val="32"/>
          <w:shd w:val="clear" w:color="auto" w:fill="FFFFFF"/>
          <w:lang w:bidi="ar"/>
        </w:rPr>
        <w:t>重点单位的主要负责人是本单位气象灾害防御第一责任人。</w:t>
      </w:r>
    </w:p>
    <w:p w14:paraId="3CE5D39C">
      <w:pPr>
        <w:pStyle w:val="10"/>
        <w:keepNext w:val="0"/>
        <w:keepLines w:val="0"/>
        <w:pageBreakBefore w:val="0"/>
        <w:kinsoku/>
        <w:wordWrap/>
        <w:overflowPunct/>
        <w:topLinePunct w:val="0"/>
        <w:autoSpaceDE/>
        <w:autoSpaceDN/>
        <w:bidi w:val="0"/>
        <w:adjustRightInd/>
        <w:snapToGrid/>
        <w:ind w:firstLine="632" w:firstLineChars="200"/>
        <w:rPr>
          <w:rStyle w:val="9"/>
          <w:rFonts w:hint="eastAsia" w:ascii="仿宋_GB2312" w:hAnsi="仿宋_GB2312" w:eastAsia="仿宋_GB2312" w:cs="仿宋_GB2312"/>
          <w:b w:val="0"/>
          <w:color w:val="000000"/>
        </w:rPr>
      </w:pPr>
      <w:r>
        <w:rPr>
          <w:rStyle w:val="9"/>
          <w:rFonts w:hint="eastAsia" w:ascii="仿宋_GB2312" w:hAnsi="仿宋_GB2312" w:eastAsia="仿宋_GB2312" w:cs="仿宋_GB2312"/>
          <w:b w:val="0"/>
          <w:color w:val="000000"/>
        </w:rPr>
        <w:t>重点单位应当履行下列职责：</w:t>
      </w:r>
      <w:r>
        <w:rPr>
          <w:rFonts w:hint="eastAsia" w:ascii="仿宋_GB2312" w:hAnsi="仿宋_GB2312" w:cs="仿宋_GB2312"/>
          <w:bCs/>
          <w:color w:val="000000"/>
        </w:rPr>
        <w:fldChar w:fldCharType="begin"/>
      </w:r>
      <w:r>
        <w:rPr>
          <w:rStyle w:val="9"/>
          <w:rFonts w:hint="eastAsia" w:ascii="仿宋_GB2312" w:hAnsi="仿宋_GB2312" w:eastAsia="仿宋_GB2312" w:cs="仿宋_GB2312"/>
          <w:b w:val="0"/>
          <w:color w:val="000000"/>
        </w:rPr>
        <w:instrText xml:space="preserve"> HYPERLINK "javascript:void(0);" </w:instrText>
      </w:r>
      <w:r>
        <w:rPr>
          <w:rFonts w:hint="eastAsia" w:ascii="仿宋_GB2312" w:hAnsi="仿宋_GB2312" w:cs="仿宋_GB2312"/>
          <w:bCs/>
          <w:color w:val="000000"/>
        </w:rPr>
        <w:fldChar w:fldCharType="separate"/>
      </w:r>
      <w:r>
        <w:rPr>
          <w:rFonts w:hint="eastAsia" w:ascii="仿宋_GB2312" w:hAnsi="仿宋_GB2312" w:cs="仿宋_GB2312"/>
          <w:bCs/>
          <w:color w:val="000000"/>
        </w:rPr>
        <w:fldChar w:fldCharType="end"/>
      </w:r>
    </w:p>
    <w:p w14:paraId="356FC29E">
      <w:pPr>
        <w:keepNext w:val="0"/>
        <w:keepLines w:val="0"/>
        <w:pageBreakBefore w:val="0"/>
        <w:widowControl/>
        <w:shd w:val="clear" w:color="auto" w:fill="FFFFFF"/>
        <w:kinsoku/>
        <w:wordWrap/>
        <w:overflowPunct/>
        <w:topLinePunct w:val="0"/>
        <w:autoSpaceDE/>
        <w:autoSpaceDN/>
        <w:bidi w:val="0"/>
        <w:adjustRightInd/>
        <w:snapToGrid/>
        <w:ind w:firstLine="645"/>
        <w:jc w:val="left"/>
        <w:rPr>
          <w:rStyle w:val="9"/>
          <w:rFonts w:hint="eastAsia" w:ascii="仿宋_GB2312" w:hAnsi="仿宋_GB2312" w:eastAsia="仿宋_GB2312" w:cs="仿宋_GB2312"/>
          <w:b w:val="0"/>
          <w:color w:val="000000"/>
        </w:rPr>
      </w:pPr>
      <w:bookmarkStart w:id="2" w:name="tiao_14_kuan_1_xiang_1"/>
      <w:bookmarkEnd w:id="2"/>
      <w:r>
        <w:rPr>
          <w:rStyle w:val="9"/>
          <w:rFonts w:hint="eastAsia" w:ascii="仿宋_GB2312" w:hAnsi="仿宋_GB2312" w:eastAsia="仿宋_GB2312" w:cs="仿宋_GB2312"/>
          <w:b w:val="0"/>
          <w:color w:val="000000"/>
        </w:rPr>
        <w:t>（一）</w:t>
      </w:r>
      <w:r>
        <w:rPr>
          <w:rFonts w:hint="eastAsia" w:ascii="仿宋_GB2312" w:hAnsi="微软雅黑" w:cs="宋体"/>
          <w:color w:val="000000"/>
          <w:kern w:val="0"/>
          <w:szCs w:val="32"/>
        </w:rPr>
        <w:t>根据本单位生产实际、气象灾害风险等，建立灾害风险防控机制，制定、完善气象灾害应急预案，定期开展气象灾害防御知识培训，</w:t>
      </w:r>
      <w:r>
        <w:rPr>
          <w:rStyle w:val="9"/>
          <w:rFonts w:hint="eastAsia" w:ascii="仿宋_GB2312" w:hAnsi="仿宋_GB2312" w:eastAsia="仿宋_GB2312" w:cs="仿宋_GB2312"/>
          <w:b w:val="0"/>
          <w:color w:val="000000"/>
        </w:rPr>
        <w:t>每年组织开展至少一次气象灾害应急演练；</w:t>
      </w:r>
      <w:r>
        <w:rPr>
          <w:rFonts w:hint="eastAsia" w:ascii="仿宋_GB2312" w:hAnsi="仿宋_GB2312" w:cs="仿宋_GB2312"/>
          <w:bCs/>
          <w:color w:val="000000"/>
        </w:rPr>
        <w:fldChar w:fldCharType="begin"/>
      </w:r>
      <w:r>
        <w:rPr>
          <w:rStyle w:val="9"/>
          <w:rFonts w:hint="eastAsia" w:ascii="仿宋_GB2312" w:hAnsi="仿宋_GB2312" w:eastAsia="仿宋_GB2312" w:cs="仿宋_GB2312"/>
          <w:b w:val="0"/>
          <w:color w:val="000000"/>
        </w:rPr>
        <w:instrText xml:space="preserve"> HYPERLINK "javascript:void(0);" </w:instrText>
      </w:r>
      <w:r>
        <w:rPr>
          <w:rFonts w:hint="eastAsia" w:ascii="仿宋_GB2312" w:hAnsi="仿宋_GB2312" w:cs="仿宋_GB2312"/>
          <w:bCs/>
          <w:color w:val="000000"/>
        </w:rPr>
        <w:fldChar w:fldCharType="separate"/>
      </w:r>
      <w:r>
        <w:rPr>
          <w:rFonts w:hint="eastAsia" w:ascii="仿宋_GB2312" w:hAnsi="仿宋_GB2312" w:cs="仿宋_GB2312"/>
          <w:bCs/>
          <w:color w:val="000000"/>
        </w:rPr>
        <w:fldChar w:fldCharType="end"/>
      </w:r>
    </w:p>
    <w:p w14:paraId="46178E40">
      <w:pPr>
        <w:keepNext w:val="0"/>
        <w:keepLines w:val="0"/>
        <w:pageBreakBefore w:val="0"/>
        <w:widowControl/>
        <w:shd w:val="clear" w:color="auto" w:fill="FFFFFF"/>
        <w:kinsoku/>
        <w:wordWrap/>
        <w:overflowPunct/>
        <w:topLinePunct w:val="0"/>
        <w:autoSpaceDE/>
        <w:autoSpaceDN/>
        <w:bidi w:val="0"/>
        <w:adjustRightInd/>
        <w:snapToGrid/>
        <w:ind w:firstLine="632" w:firstLineChars="200"/>
        <w:rPr>
          <w:rStyle w:val="9"/>
          <w:rFonts w:hint="eastAsia" w:ascii="仿宋_GB2312" w:hAnsi="仿宋_GB2312" w:eastAsia="仿宋_GB2312" w:cs="仿宋_GB2312"/>
          <w:b w:val="0"/>
          <w:color w:val="000000"/>
        </w:rPr>
      </w:pPr>
      <w:bookmarkStart w:id="3" w:name="tiao_14_kuan_1_xiang_2"/>
      <w:bookmarkEnd w:id="3"/>
      <w:r>
        <w:rPr>
          <w:rStyle w:val="9"/>
          <w:rFonts w:hint="eastAsia" w:ascii="仿宋_GB2312" w:hAnsi="仿宋_GB2312" w:eastAsia="仿宋_GB2312" w:cs="仿宋_GB2312"/>
          <w:b w:val="0"/>
          <w:color w:val="000000"/>
        </w:rPr>
        <w:t>（二）定期检查本单位</w:t>
      </w:r>
      <w:r>
        <w:rPr>
          <w:rFonts w:hint="eastAsia" w:ascii="仿宋_GB2312" w:hAnsi="微软雅黑" w:cs="宋体"/>
          <w:color w:val="000000"/>
          <w:kern w:val="0"/>
          <w:szCs w:val="32"/>
        </w:rPr>
        <w:t>气象灾害防御重点部位、气象灾害隐患整改及防范措施的落实情况、雷电防护装置检测及维护保养情况</w:t>
      </w:r>
      <w:r>
        <w:rPr>
          <w:rStyle w:val="9"/>
          <w:rFonts w:hint="eastAsia" w:ascii="仿宋_GB2312" w:hAnsi="仿宋_GB2312" w:eastAsia="仿宋_GB2312" w:cs="仿宋_GB2312"/>
          <w:b w:val="0"/>
          <w:color w:val="000000"/>
        </w:rPr>
        <w:t>，对发现的隐患提出整改意见，并督促落实</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r>
        <w:rPr>
          <w:rStyle w:val="9"/>
          <w:rFonts w:hint="eastAsia" w:ascii="仿宋_GB2312" w:hAnsi="仿宋_GB2312" w:eastAsia="仿宋_GB2312" w:cs="仿宋_GB2312"/>
          <w:b w:val="0"/>
          <w:color w:val="000000"/>
        </w:rPr>
        <w:t>；</w:t>
      </w:r>
      <w:r>
        <w:rPr>
          <w:rFonts w:hint="eastAsia" w:ascii="仿宋_GB2312" w:hAnsi="仿宋_GB2312" w:cs="仿宋_GB2312"/>
          <w:bCs/>
          <w:color w:val="000000"/>
        </w:rPr>
        <w:fldChar w:fldCharType="begin"/>
      </w:r>
      <w:r>
        <w:rPr>
          <w:rStyle w:val="9"/>
          <w:rFonts w:hint="eastAsia" w:ascii="仿宋_GB2312" w:hAnsi="仿宋_GB2312" w:eastAsia="仿宋_GB2312" w:cs="仿宋_GB2312"/>
          <w:b w:val="0"/>
          <w:color w:val="000000"/>
        </w:rPr>
        <w:instrText xml:space="preserve"> HYPERLINK "javascript:void(0);" </w:instrText>
      </w:r>
      <w:r>
        <w:rPr>
          <w:rFonts w:hint="eastAsia" w:ascii="仿宋_GB2312" w:hAnsi="仿宋_GB2312" w:cs="仿宋_GB2312"/>
          <w:bCs/>
          <w:color w:val="000000"/>
        </w:rPr>
        <w:fldChar w:fldCharType="separate"/>
      </w:r>
      <w:r>
        <w:rPr>
          <w:rFonts w:hint="eastAsia" w:ascii="仿宋_GB2312" w:hAnsi="仿宋_GB2312" w:cs="仿宋_GB2312"/>
          <w:bCs/>
          <w:color w:val="000000"/>
        </w:rPr>
        <w:fldChar w:fldCharType="end"/>
      </w:r>
    </w:p>
    <w:p w14:paraId="0C5E87AF">
      <w:pPr>
        <w:pStyle w:val="10"/>
        <w:keepNext w:val="0"/>
        <w:keepLines w:val="0"/>
        <w:pageBreakBefore w:val="0"/>
        <w:kinsoku/>
        <w:wordWrap/>
        <w:overflowPunct/>
        <w:topLinePunct w:val="0"/>
        <w:autoSpaceDE/>
        <w:autoSpaceDN/>
        <w:bidi w:val="0"/>
        <w:adjustRightInd/>
        <w:snapToGrid/>
        <w:ind w:firstLine="632" w:firstLineChars="200"/>
        <w:rPr>
          <w:rStyle w:val="9"/>
          <w:rFonts w:hint="eastAsia" w:ascii="仿宋_GB2312" w:hAnsi="仿宋_GB2312" w:eastAsia="仿宋_GB2312" w:cs="仿宋_GB2312"/>
          <w:b w:val="0"/>
          <w:color w:val="000000"/>
        </w:rPr>
      </w:pPr>
      <w:bookmarkStart w:id="4" w:name="tiao_14_kuan_1_xiang_3"/>
      <w:bookmarkEnd w:id="4"/>
      <w:r>
        <w:rPr>
          <w:rStyle w:val="9"/>
          <w:rFonts w:hint="eastAsia" w:ascii="仿宋_GB2312" w:hAnsi="仿宋_GB2312" w:eastAsia="仿宋_GB2312" w:cs="仿宋_GB2312"/>
          <w:b w:val="0"/>
          <w:color w:val="000000"/>
        </w:rPr>
        <w:t>（三）保障本单位气象灾害预警信息接收与传播等设施正常运行；</w:t>
      </w:r>
      <w:r>
        <w:rPr>
          <w:rFonts w:hint="eastAsia" w:ascii="仿宋_GB2312" w:hAnsi="仿宋_GB2312" w:cs="仿宋_GB2312"/>
          <w:bCs/>
          <w:color w:val="000000"/>
        </w:rPr>
        <w:fldChar w:fldCharType="begin"/>
      </w:r>
      <w:r>
        <w:rPr>
          <w:rStyle w:val="9"/>
          <w:rFonts w:hint="eastAsia" w:ascii="仿宋_GB2312" w:hAnsi="仿宋_GB2312" w:eastAsia="仿宋_GB2312" w:cs="仿宋_GB2312"/>
          <w:b w:val="0"/>
          <w:color w:val="000000"/>
        </w:rPr>
        <w:instrText xml:space="preserve"> HYPERLINK "javascript:void(0);" </w:instrText>
      </w:r>
      <w:r>
        <w:rPr>
          <w:rFonts w:hint="eastAsia" w:ascii="仿宋_GB2312" w:hAnsi="仿宋_GB2312" w:cs="仿宋_GB2312"/>
          <w:bCs/>
          <w:color w:val="000000"/>
        </w:rPr>
        <w:fldChar w:fldCharType="separate"/>
      </w:r>
      <w:r>
        <w:rPr>
          <w:rFonts w:hint="eastAsia" w:ascii="仿宋_GB2312" w:hAnsi="仿宋_GB2312" w:cs="仿宋_GB2312"/>
          <w:bCs/>
          <w:color w:val="000000"/>
        </w:rPr>
        <w:fldChar w:fldCharType="end"/>
      </w:r>
    </w:p>
    <w:p w14:paraId="030B899C">
      <w:pPr>
        <w:pStyle w:val="10"/>
        <w:keepNext w:val="0"/>
        <w:keepLines w:val="0"/>
        <w:pageBreakBefore w:val="0"/>
        <w:kinsoku/>
        <w:wordWrap/>
        <w:overflowPunct/>
        <w:topLinePunct w:val="0"/>
        <w:autoSpaceDE/>
        <w:autoSpaceDN/>
        <w:bidi w:val="0"/>
        <w:adjustRightInd/>
        <w:snapToGrid/>
        <w:ind w:firstLine="632" w:firstLineChars="200"/>
        <w:rPr>
          <w:rStyle w:val="9"/>
          <w:rFonts w:hint="eastAsia" w:ascii="仿宋_GB2312" w:hAnsi="仿宋_GB2312" w:eastAsia="仿宋_GB2312" w:cs="仿宋_GB2312"/>
          <w:b w:val="0"/>
          <w:color w:val="000000"/>
        </w:rPr>
      </w:pPr>
      <w:bookmarkStart w:id="5" w:name="tiao_14_kuan_1_xiang_4"/>
      <w:bookmarkEnd w:id="5"/>
      <w:r>
        <w:rPr>
          <w:rStyle w:val="9"/>
          <w:rFonts w:hint="eastAsia" w:ascii="仿宋_GB2312" w:hAnsi="仿宋_GB2312" w:eastAsia="仿宋_GB2312" w:cs="仿宋_GB2312"/>
          <w:b w:val="0"/>
          <w:color w:val="000000"/>
        </w:rPr>
        <w:t>（四）在灾害性天气影响或者气象灾害发生期间，组织开展本单位气象灾害防御以及救援等工作；</w:t>
      </w:r>
      <w:r>
        <w:rPr>
          <w:rFonts w:hint="eastAsia" w:ascii="仿宋_GB2312" w:hAnsi="仿宋_GB2312" w:cs="仿宋_GB2312"/>
          <w:bCs/>
          <w:color w:val="000000"/>
        </w:rPr>
        <w:fldChar w:fldCharType="begin"/>
      </w:r>
      <w:r>
        <w:rPr>
          <w:rStyle w:val="9"/>
          <w:rFonts w:hint="eastAsia" w:ascii="仿宋_GB2312" w:hAnsi="仿宋_GB2312" w:eastAsia="仿宋_GB2312" w:cs="仿宋_GB2312"/>
          <w:b w:val="0"/>
          <w:color w:val="000000"/>
        </w:rPr>
        <w:instrText xml:space="preserve"> HYPERLINK "javascript:void(0);" </w:instrText>
      </w:r>
      <w:r>
        <w:rPr>
          <w:rFonts w:hint="eastAsia" w:ascii="仿宋_GB2312" w:hAnsi="仿宋_GB2312" w:cs="仿宋_GB2312"/>
          <w:bCs/>
          <w:color w:val="000000"/>
        </w:rPr>
        <w:fldChar w:fldCharType="separate"/>
      </w:r>
      <w:r>
        <w:rPr>
          <w:rFonts w:hint="eastAsia" w:ascii="仿宋_GB2312" w:hAnsi="仿宋_GB2312" w:cs="仿宋_GB2312"/>
          <w:bCs/>
          <w:color w:val="000000"/>
        </w:rPr>
        <w:fldChar w:fldCharType="end"/>
      </w:r>
    </w:p>
    <w:p w14:paraId="5EC441B6">
      <w:pPr>
        <w:pStyle w:val="10"/>
        <w:keepNext w:val="0"/>
        <w:keepLines w:val="0"/>
        <w:pageBreakBefore w:val="0"/>
        <w:kinsoku/>
        <w:wordWrap/>
        <w:overflowPunct/>
        <w:topLinePunct w:val="0"/>
        <w:autoSpaceDE/>
        <w:autoSpaceDN/>
        <w:bidi w:val="0"/>
        <w:adjustRightInd/>
        <w:snapToGrid/>
        <w:ind w:firstLine="632" w:firstLineChars="200"/>
        <w:rPr>
          <w:rStyle w:val="9"/>
          <w:rFonts w:hint="eastAsia" w:ascii="仿宋_GB2312" w:hAnsi="仿宋_GB2312" w:eastAsia="仿宋_GB2312" w:cs="仿宋_GB2312"/>
          <w:b w:val="0"/>
          <w:color w:val="000000"/>
        </w:rPr>
      </w:pPr>
      <w:bookmarkStart w:id="6" w:name="tiao_14_kuan_1_xiang_5"/>
      <w:bookmarkEnd w:id="6"/>
      <w:r>
        <w:rPr>
          <w:rStyle w:val="9"/>
          <w:rFonts w:hint="eastAsia" w:ascii="仿宋_GB2312" w:hAnsi="仿宋_GB2312" w:eastAsia="仿宋_GB2312" w:cs="仿宋_GB2312"/>
          <w:b w:val="0"/>
          <w:color w:val="000000"/>
        </w:rPr>
        <w:t>（五）气象灾害发生以后，及时收集气象灾情并向当地气象主管机构和行业主管部门报送，配合做好灾情调查工作；</w:t>
      </w:r>
      <w:r>
        <w:rPr>
          <w:rFonts w:hint="eastAsia" w:ascii="仿宋_GB2312" w:hAnsi="仿宋_GB2312" w:cs="仿宋_GB2312"/>
          <w:bCs/>
          <w:color w:val="000000"/>
        </w:rPr>
        <w:fldChar w:fldCharType="begin"/>
      </w:r>
      <w:r>
        <w:rPr>
          <w:rStyle w:val="9"/>
          <w:rFonts w:hint="eastAsia" w:ascii="仿宋_GB2312" w:hAnsi="仿宋_GB2312" w:eastAsia="仿宋_GB2312" w:cs="仿宋_GB2312"/>
          <w:b w:val="0"/>
          <w:color w:val="000000"/>
        </w:rPr>
        <w:instrText xml:space="preserve"> HYPERLINK "javascript:void(0);" </w:instrText>
      </w:r>
      <w:r>
        <w:rPr>
          <w:rFonts w:hint="eastAsia" w:ascii="仿宋_GB2312" w:hAnsi="仿宋_GB2312" w:cs="仿宋_GB2312"/>
          <w:bCs/>
          <w:color w:val="000000"/>
        </w:rPr>
        <w:fldChar w:fldCharType="separate"/>
      </w:r>
      <w:r>
        <w:rPr>
          <w:rFonts w:hint="eastAsia" w:ascii="仿宋_GB2312" w:hAnsi="仿宋_GB2312" w:cs="仿宋_GB2312"/>
          <w:bCs/>
          <w:color w:val="000000"/>
        </w:rPr>
        <w:fldChar w:fldCharType="end"/>
      </w:r>
    </w:p>
    <w:p w14:paraId="71040D96">
      <w:pPr>
        <w:pStyle w:val="10"/>
        <w:keepNext w:val="0"/>
        <w:keepLines w:val="0"/>
        <w:pageBreakBefore w:val="0"/>
        <w:kinsoku/>
        <w:wordWrap/>
        <w:overflowPunct/>
        <w:topLinePunct w:val="0"/>
        <w:autoSpaceDE/>
        <w:autoSpaceDN/>
        <w:bidi w:val="0"/>
        <w:adjustRightInd/>
        <w:snapToGrid/>
        <w:ind w:firstLine="632" w:firstLineChars="200"/>
        <w:rPr>
          <w:rStyle w:val="9"/>
          <w:rFonts w:hint="eastAsia" w:ascii="仿宋_GB2312" w:hAnsi="仿宋_GB2312" w:eastAsia="仿宋_GB2312" w:cs="仿宋_GB2312"/>
          <w:b w:val="0"/>
          <w:color w:val="000000"/>
        </w:rPr>
      </w:pPr>
      <w:bookmarkStart w:id="7" w:name="tiao_14_kuan_1_xiang_6"/>
      <w:bookmarkEnd w:id="7"/>
      <w:r>
        <w:rPr>
          <w:rStyle w:val="9"/>
          <w:rFonts w:hint="eastAsia" w:ascii="仿宋_GB2312" w:hAnsi="仿宋_GB2312" w:eastAsia="仿宋_GB2312" w:cs="仿宋_GB2312"/>
          <w:b w:val="0"/>
          <w:color w:val="000000"/>
        </w:rPr>
        <w:t>（六）建立健全本单位气象灾害防御工作档案；</w:t>
      </w:r>
      <w:r>
        <w:rPr>
          <w:rFonts w:hint="eastAsia" w:ascii="仿宋_GB2312" w:hAnsi="仿宋_GB2312" w:cs="仿宋_GB2312"/>
          <w:bCs/>
          <w:color w:val="000000"/>
        </w:rPr>
        <w:fldChar w:fldCharType="begin"/>
      </w:r>
      <w:r>
        <w:rPr>
          <w:rStyle w:val="9"/>
          <w:rFonts w:hint="eastAsia" w:ascii="仿宋_GB2312" w:hAnsi="仿宋_GB2312" w:eastAsia="仿宋_GB2312" w:cs="仿宋_GB2312"/>
          <w:b w:val="0"/>
          <w:color w:val="000000"/>
        </w:rPr>
        <w:instrText xml:space="preserve"> HYPERLINK "javascript:void(0);" </w:instrText>
      </w:r>
      <w:r>
        <w:rPr>
          <w:rFonts w:hint="eastAsia" w:ascii="仿宋_GB2312" w:hAnsi="仿宋_GB2312" w:cs="仿宋_GB2312"/>
          <w:bCs/>
          <w:color w:val="000000"/>
        </w:rPr>
        <w:fldChar w:fldCharType="separate"/>
      </w:r>
      <w:r>
        <w:rPr>
          <w:rFonts w:hint="eastAsia" w:ascii="仿宋_GB2312" w:hAnsi="仿宋_GB2312" w:cs="仿宋_GB2312"/>
          <w:bCs/>
          <w:color w:val="000000"/>
        </w:rPr>
        <w:fldChar w:fldCharType="end"/>
      </w:r>
    </w:p>
    <w:p w14:paraId="40DD9420">
      <w:pPr>
        <w:pStyle w:val="10"/>
        <w:keepNext w:val="0"/>
        <w:keepLines w:val="0"/>
        <w:pageBreakBefore w:val="0"/>
        <w:kinsoku/>
        <w:wordWrap/>
        <w:overflowPunct/>
        <w:topLinePunct w:val="0"/>
        <w:autoSpaceDE/>
        <w:autoSpaceDN/>
        <w:bidi w:val="0"/>
        <w:adjustRightInd/>
        <w:snapToGrid/>
        <w:ind w:firstLine="632" w:firstLineChars="200"/>
        <w:rPr>
          <w:rFonts w:hint="eastAsia" w:ascii="仿宋_GB2312" w:hAnsi="微软雅黑" w:cs="宋体"/>
          <w:strike/>
          <w:color w:val="000000"/>
          <w:kern w:val="0"/>
          <w:sz w:val="32"/>
          <w:szCs w:val="32"/>
        </w:rPr>
      </w:pPr>
      <w:bookmarkStart w:id="8" w:name="tiao_14_kuan_1_xiang_7"/>
      <w:bookmarkEnd w:id="8"/>
      <w:r>
        <w:rPr>
          <w:rStyle w:val="9"/>
          <w:rFonts w:hint="eastAsia" w:ascii="仿宋_GB2312" w:hAnsi="仿宋_GB2312" w:eastAsia="仿宋_GB2312" w:cs="仿宋_GB2312"/>
          <w:b w:val="0"/>
          <w:color w:val="000000"/>
        </w:rPr>
        <w:t>（七）法律</w:t>
      </w:r>
      <w:r>
        <w:rPr>
          <w:rStyle w:val="9"/>
          <w:rFonts w:hint="eastAsia" w:ascii="方正仿宋_GB2312" w:hAnsi="方正仿宋_GB2312" w:eastAsia="方正仿宋_GB2312" w:cs="方正仿宋_GB2312"/>
          <w:b w:val="0"/>
          <w:color w:val="000000"/>
        </w:rPr>
        <w:t>、</w:t>
      </w:r>
      <w:r>
        <w:rPr>
          <w:rStyle w:val="9"/>
          <w:rFonts w:hint="eastAsia" w:ascii="仿宋_GB2312" w:hAnsi="仿宋_GB2312" w:eastAsia="仿宋_GB2312" w:cs="仿宋_GB2312"/>
          <w:b w:val="0"/>
          <w:color w:val="000000"/>
        </w:rPr>
        <w:t>法规规定的其他气象灾害防御工作。</w:t>
      </w:r>
      <w:r>
        <w:rPr>
          <w:rFonts w:hint="eastAsia" w:ascii="仿宋_GB2312" w:hAnsi="仿宋_GB2312" w:cs="仿宋_GB2312"/>
          <w:bCs/>
          <w:color w:val="000000"/>
        </w:rPr>
        <w:fldChar w:fldCharType="begin"/>
      </w:r>
      <w:r>
        <w:rPr>
          <w:rStyle w:val="9"/>
          <w:rFonts w:hint="eastAsia" w:ascii="仿宋_GB2312" w:hAnsi="仿宋_GB2312" w:eastAsia="仿宋_GB2312" w:cs="仿宋_GB2312"/>
          <w:b w:val="0"/>
          <w:color w:val="000000"/>
        </w:rPr>
        <w:instrText xml:space="preserve"> HYPERLINK "javascript:void(0);" </w:instrText>
      </w:r>
      <w:r>
        <w:rPr>
          <w:rFonts w:hint="eastAsia" w:ascii="仿宋_GB2312" w:hAnsi="仿宋_GB2312" w:cs="仿宋_GB2312"/>
          <w:bCs/>
          <w:color w:val="000000"/>
        </w:rPr>
        <w:fldChar w:fldCharType="separate"/>
      </w:r>
      <w:r>
        <w:rPr>
          <w:rFonts w:hint="eastAsia" w:ascii="仿宋_GB2312" w:hAnsi="仿宋_GB2312" w:cs="仿宋_GB2312"/>
          <w:bCs/>
          <w:color w:val="000000"/>
        </w:rPr>
        <w:fldChar w:fldCharType="end"/>
      </w:r>
    </w:p>
    <w:p w14:paraId="3A5EAFCE">
      <w:pPr>
        <w:keepNext w:val="0"/>
        <w:keepLines w:val="0"/>
        <w:pageBreakBefore w:val="0"/>
        <w:widowControl/>
        <w:shd w:val="clear" w:color="auto" w:fill="FFFFFF"/>
        <w:kinsoku/>
        <w:wordWrap/>
        <w:overflowPunct/>
        <w:topLinePunct w:val="0"/>
        <w:autoSpaceDE/>
        <w:autoSpaceDN/>
        <w:bidi w:val="0"/>
        <w:adjustRightInd/>
        <w:snapToGrid/>
        <w:ind w:firstLine="645"/>
        <w:jc w:val="left"/>
        <w:rPr>
          <w:rFonts w:hint="eastAsia" w:ascii="仿宋_GB2312" w:hAnsi="微软雅黑" w:cs="宋体"/>
          <w:color w:val="000000"/>
          <w:kern w:val="0"/>
          <w:szCs w:val="32"/>
        </w:rPr>
      </w:pPr>
      <w:r>
        <w:rPr>
          <w:rFonts w:hint="eastAsia" w:ascii="黑体" w:hAnsi="黑体" w:eastAsia="黑体" w:cs="Times New Roman"/>
          <w:kern w:val="2"/>
          <w:sz w:val="32"/>
          <w:szCs w:val="32"/>
          <w:vertAlign w:val="baseline"/>
          <w:lang w:val="en-US" w:eastAsia="zh-CN" w:bidi="ar-SA"/>
        </w:rPr>
        <w:t xml:space="preserve">第十三条【气象灾害防御措施1】 </w:t>
      </w:r>
      <w:r>
        <w:rPr>
          <w:rFonts w:hint="eastAsia" w:ascii="仿宋_GB2312" w:hAnsi="微软雅黑" w:cs="宋体"/>
          <w:color w:val="000000"/>
          <w:kern w:val="0"/>
          <w:szCs w:val="32"/>
        </w:rPr>
        <w:t>重点单位接收到灾害性天气警报和气象灾害预警信号时，应当及时通过有效途径在单位内部传播预警信息，开展隐患排查，评估灾害风险，根据预案及时启动应急响应，安排相关人员进入岗位。</w:t>
      </w:r>
    </w:p>
    <w:p w14:paraId="30F39ED3">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仿宋_GB2312" w:hAnsi="微软雅黑" w:cs="宋体"/>
          <w:color w:val="000000"/>
          <w:kern w:val="0"/>
          <w:szCs w:val="32"/>
        </w:rPr>
        <w:t>发生气象灾害或者由其造成的生产安全事故，可能危及相邻区域安全时，重点单位应当立即向所在地人民政府有关部门报告情况，服从政府有关部门的指挥、调度。鼓励重点单位组织专业队伍积极参与抢险救援和灾后秩序恢复工作。</w:t>
      </w:r>
    </w:p>
    <w:p w14:paraId="55A34FB9">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黑体" w:hAnsi="黑体" w:eastAsia="黑体" w:cs="Times New Roman"/>
          <w:kern w:val="2"/>
          <w:sz w:val="32"/>
          <w:szCs w:val="32"/>
          <w:vertAlign w:val="baseline"/>
          <w:lang w:val="en-US" w:eastAsia="zh-CN" w:bidi="ar-SA"/>
        </w:rPr>
        <w:t>第十四条【气象灾害防御措施2】</w:t>
      </w:r>
      <w:r>
        <w:rPr>
          <w:rStyle w:val="9"/>
          <w:rFonts w:hint="eastAsia" w:ascii="方正小标宋_GBK" w:hAnsi="方正小标宋_GBK" w:eastAsia="方正小标宋_GBK" w:cs="方正小标宋_GBK"/>
          <w:bCs w:val="0"/>
          <w:color w:val="000000"/>
        </w:rPr>
        <w:t xml:space="preserve"> </w:t>
      </w:r>
      <w:r>
        <w:rPr>
          <w:rFonts w:hint="eastAsia" w:ascii="仿宋_GB2312" w:hAnsi="微软雅黑" w:cs="宋体"/>
          <w:color w:val="000000"/>
          <w:kern w:val="0"/>
          <w:szCs w:val="32"/>
        </w:rPr>
        <w:t>气象灾害预警信号生效期间，不同类别的重点单位应当根据本单位实际，按照相应标准规范或者防御指南，采取下列重点防御措施：</w:t>
      </w:r>
    </w:p>
    <w:p w14:paraId="61EC85C0">
      <w:pPr>
        <w:keepNext w:val="0"/>
        <w:keepLines w:val="0"/>
        <w:pageBreakBefore w:val="0"/>
        <w:widowControl/>
        <w:shd w:val="clear" w:color="auto" w:fill="FFFFFF"/>
        <w:kinsoku/>
        <w:wordWrap/>
        <w:overflowPunct/>
        <w:topLinePunct w:val="0"/>
        <w:autoSpaceDE/>
        <w:autoSpaceDN/>
        <w:bidi w:val="0"/>
        <w:adjustRightInd/>
        <w:snapToGrid/>
        <w:ind w:firstLine="632" w:firstLineChars="200"/>
        <w:rPr>
          <w:color w:val="000000"/>
        </w:rPr>
      </w:pPr>
      <w:r>
        <w:rPr>
          <w:rFonts w:hint="eastAsia" w:ascii="仿宋_GB2312" w:hAnsi="微软雅黑" w:cs="宋体"/>
          <w:color w:val="000000"/>
          <w:kern w:val="0"/>
          <w:szCs w:val="32"/>
        </w:rPr>
        <w:t>（一）人员密集场所以及劳动密集型企业等重点单位接收到大风、暴雨、暴雪、雷电等预警信息时，应当及时向受影响区域的人员发出警示，对各类建（构）筑物特别是大跨度框架结构建筑物、棚屋进行巡查排查，适时关闭相关区域，及时疏散人员，向因天气原因滞留的人员提供临时安全避险场所或者采取相应的安全措施</w:t>
      </w:r>
      <w:r>
        <w:rPr>
          <w:rFonts w:hint="eastAsia" w:ascii="仿宋_GB2312" w:hAnsi="微软雅黑" w:cs="宋体"/>
          <w:color w:val="000000"/>
          <w:kern w:val="0"/>
          <w:szCs w:val="32"/>
          <w:lang w:val="en-GB"/>
        </w:rPr>
        <w:t>；</w:t>
      </w:r>
    </w:p>
    <w:p w14:paraId="16D22568">
      <w:pPr>
        <w:pStyle w:val="4"/>
        <w:keepNext w:val="0"/>
        <w:keepLines w:val="0"/>
        <w:pageBreakBefore w:val="0"/>
        <w:kinsoku/>
        <w:wordWrap/>
        <w:overflowPunct/>
        <w:topLinePunct w:val="0"/>
        <w:autoSpaceDE/>
        <w:autoSpaceDN/>
        <w:bidi w:val="0"/>
        <w:adjustRightInd/>
        <w:snapToGrid/>
        <w:spacing w:line="560" w:lineRule="exact"/>
        <w:ind w:firstLine="552" w:firstLineChars="200"/>
        <w:rPr>
          <w:rFonts w:hint="eastAsia" w:ascii="仿宋_GB2312" w:hAnsi="微软雅黑" w:cs="宋体"/>
          <w:color w:val="000000"/>
          <w:kern w:val="0"/>
          <w:sz w:val="32"/>
          <w:szCs w:val="32"/>
        </w:rPr>
      </w:pPr>
      <w:r>
        <w:rPr>
          <w:color w:val="000000"/>
        </w:rPr>
        <w:t>（</w:t>
      </w:r>
      <w:r>
        <w:rPr>
          <w:rFonts w:hint="eastAsia"/>
          <w:color w:val="000000"/>
        </w:rPr>
        <w:t>二</w:t>
      </w:r>
      <w:r>
        <w:rPr>
          <w:color w:val="000000"/>
        </w:rPr>
        <w:t>）</w:t>
      </w:r>
      <w:r>
        <w:rPr>
          <w:rFonts w:hint="eastAsia" w:ascii="仿宋_GB2312" w:hAnsi="微软雅黑" w:cs="宋体"/>
          <w:color w:val="000000"/>
          <w:kern w:val="0"/>
          <w:sz w:val="32"/>
          <w:szCs w:val="32"/>
        </w:rPr>
        <w:t>供水、电力、燃气、供热、通信、广电、粮</w:t>
      </w:r>
      <w:r>
        <w:rPr>
          <w:rFonts w:hint="eastAsia"/>
          <w:color w:val="000000"/>
          <w:sz w:val="32"/>
          <w:szCs w:val="32"/>
        </w:rPr>
        <w:t>食</w:t>
      </w:r>
      <w:r>
        <w:rPr>
          <w:color w:val="000000"/>
          <w:sz w:val="32"/>
          <w:szCs w:val="32"/>
        </w:rPr>
        <w:t>等对国计民生有重大影响的重点单位接收到</w:t>
      </w:r>
      <w:r>
        <w:rPr>
          <w:rFonts w:hint="eastAsia"/>
          <w:color w:val="000000"/>
          <w:sz w:val="32"/>
          <w:szCs w:val="32"/>
        </w:rPr>
        <w:t>暴雨</w:t>
      </w:r>
      <w:r>
        <w:rPr>
          <w:rFonts w:hint="eastAsia" w:ascii="仿宋_GB2312" w:hAnsi="微软雅黑" w:cs="宋体"/>
          <w:color w:val="000000"/>
          <w:kern w:val="0"/>
          <w:sz w:val="32"/>
          <w:szCs w:val="32"/>
        </w:rPr>
        <w:t>、暴雪、寒潮、大风等预警信号时，应当做好防洪、防寒、防冻、防</w:t>
      </w:r>
      <w:r>
        <w:rPr>
          <w:color w:val="000000"/>
          <w:sz w:val="32"/>
          <w:szCs w:val="32"/>
        </w:rPr>
        <w:t>风和防雪灾准备，增加对灾害隐患点、风险区的检查和排查频次</w:t>
      </w:r>
      <w:r>
        <w:rPr>
          <w:rFonts w:hint="eastAsia" w:ascii="仿宋_GB2312" w:hAnsi="微软雅黑" w:cs="宋体"/>
          <w:color w:val="000000"/>
          <w:kern w:val="0"/>
          <w:sz w:val="32"/>
          <w:szCs w:val="32"/>
          <w:lang w:val="en-GB"/>
        </w:rPr>
        <w:t>；</w:t>
      </w:r>
      <w:r>
        <w:rPr>
          <w:color w:val="000000"/>
          <w:sz w:val="32"/>
          <w:szCs w:val="32"/>
        </w:rPr>
        <w:fldChar w:fldCharType="begin"/>
      </w:r>
      <w:r>
        <w:rPr>
          <w:color w:val="000000"/>
          <w:sz w:val="32"/>
          <w:szCs w:val="32"/>
        </w:rPr>
        <w:instrText xml:space="preserve"> HYPERLINK "javascript:void(0);" </w:instrText>
      </w:r>
      <w:r>
        <w:rPr>
          <w:color w:val="000000"/>
          <w:sz w:val="32"/>
          <w:szCs w:val="32"/>
        </w:rPr>
        <w:fldChar w:fldCharType="separate"/>
      </w:r>
      <w:r>
        <w:rPr>
          <w:color w:val="000000"/>
          <w:sz w:val="32"/>
          <w:szCs w:val="32"/>
        </w:rPr>
        <w:fldChar w:fldCharType="end"/>
      </w:r>
    </w:p>
    <w:p w14:paraId="1430E733">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lang w:val="en-GB"/>
        </w:rPr>
      </w:pPr>
      <w:r>
        <w:rPr>
          <w:rFonts w:hint="eastAsia" w:ascii="仿宋_GB2312" w:hAnsi="微软雅黑" w:cs="宋体"/>
          <w:color w:val="000000"/>
          <w:kern w:val="0"/>
          <w:szCs w:val="32"/>
        </w:rPr>
        <w:t>（三）体育赛事活动、会展的主办单位或者承办单位等重点单位接收到暴雨、暴雪、寒潮、大风、雷电等预警信息时，应当按照赛事或展会活动安全工作方案，落实医疗救护、应急疏散、交通疏导等措施，必要时变更活动的时间、地点、内容、规模或者取消活动</w:t>
      </w:r>
      <w:r>
        <w:rPr>
          <w:rFonts w:hint="eastAsia" w:ascii="仿宋_GB2312" w:hAnsi="微软雅黑" w:cs="宋体"/>
          <w:color w:val="000000"/>
          <w:kern w:val="0"/>
          <w:szCs w:val="32"/>
          <w:lang w:val="en-GB"/>
        </w:rPr>
        <w:t>；</w:t>
      </w:r>
    </w:p>
    <w:p w14:paraId="0368ADE5">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仿宋_GB2312" w:hAnsi="微软雅黑" w:cs="宋体"/>
          <w:color w:val="000000"/>
          <w:kern w:val="0"/>
          <w:szCs w:val="32"/>
        </w:rPr>
        <w:t>（四）易燃易爆类重点单位接收到大风、雷电、暴雨等预警信息时，应当采取停止户外作业、切断危险电源等防御措施，并及时调整生产作业；接收到高温预警信息时，应当对生产、充装、储存设施和运输工具采取隔热降温措施，必要时停止户外露天作业</w:t>
      </w:r>
      <w:r>
        <w:rPr>
          <w:rFonts w:hint="eastAsia" w:ascii="仿宋_GB2312" w:hAnsi="微软雅黑" w:cs="宋体"/>
          <w:color w:val="000000"/>
          <w:kern w:val="0"/>
          <w:szCs w:val="32"/>
          <w:lang w:val="en-GB"/>
        </w:rPr>
        <w:t>；</w:t>
      </w:r>
    </w:p>
    <w:p w14:paraId="76274398">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仿宋_GB2312" w:hAnsi="微软雅黑" w:cs="宋体"/>
          <w:color w:val="000000"/>
          <w:kern w:val="0"/>
          <w:szCs w:val="32"/>
        </w:rPr>
        <w:t>（五）在建工程重点单位接收到大风等预警信息时，应当采取加固措施，加强机械、电器设备的安全防护，受影响较大的区域应当停止高空作业和户外施工；接收到暴雨等预警信息时，应当暂停户外作业，切断低洼地带有危险的室外电源，及时疏通地下排水管道或者采取加设临时排水等措施</w:t>
      </w:r>
      <w:r>
        <w:rPr>
          <w:rFonts w:hint="eastAsia" w:ascii="仿宋_GB2312" w:hAnsi="微软雅黑" w:cs="宋体"/>
          <w:color w:val="000000"/>
          <w:kern w:val="0"/>
          <w:szCs w:val="32"/>
          <w:lang w:val="en-GB"/>
        </w:rPr>
        <w:t>；</w:t>
      </w:r>
    </w:p>
    <w:p w14:paraId="7BEEEFAC">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仿宋_GB2312" w:hAnsi="微软雅黑" w:cs="宋体"/>
          <w:color w:val="000000"/>
          <w:kern w:val="0"/>
          <w:szCs w:val="32"/>
        </w:rPr>
        <w:t>（六）旅游景区、主题公园、省级文物保护单位等重点单位接收到暴雨、暴雪、大风、雷电等预警信息时，应当及时向游客发出警示，适时采取停运观光缆车，关闭景区景点和设施，组织人员避险</w:t>
      </w:r>
      <w:r>
        <w:rPr>
          <w:rFonts w:hint="eastAsia" w:ascii="仿宋_GB2312" w:hAnsi="微软雅黑" w:cs="宋体"/>
          <w:color w:val="000000"/>
          <w:kern w:val="0"/>
          <w:szCs w:val="32"/>
          <w:lang w:val="en-GB"/>
        </w:rPr>
        <w:t>。</w:t>
      </w:r>
    </w:p>
    <w:p w14:paraId="33D747E7">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bookmarkStart w:id="9" w:name="tiao_22_kuan_1"/>
      <w:bookmarkEnd w:id="9"/>
      <w:r>
        <w:rPr>
          <w:rFonts w:hint="eastAsia" w:ascii="黑体" w:hAnsi="黑体" w:eastAsia="黑体" w:cs="Times New Roman"/>
          <w:kern w:val="2"/>
          <w:sz w:val="32"/>
          <w:szCs w:val="32"/>
          <w:vertAlign w:val="baseline"/>
          <w:lang w:val="en-US" w:eastAsia="zh-CN" w:bidi="ar-SA"/>
        </w:rPr>
        <w:t xml:space="preserve">第十五条【档案要求】 </w:t>
      </w:r>
      <w:r>
        <w:rPr>
          <w:rFonts w:hint="eastAsia" w:ascii="仿宋_GB2312" w:hAnsi="微软雅黑" w:cs="宋体"/>
          <w:color w:val="000000"/>
          <w:kern w:val="0"/>
          <w:szCs w:val="32"/>
        </w:rPr>
        <w:t>重点单位气象灾害防御工作档案应当包括下列内容：</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4A493F4E">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bookmarkStart w:id="10" w:name="tiao_22_kuan_1_xiang_1"/>
      <w:bookmarkEnd w:id="10"/>
      <w:r>
        <w:rPr>
          <w:rFonts w:hint="eastAsia" w:ascii="仿宋_GB2312" w:hAnsi="微软雅黑" w:cs="宋体"/>
          <w:color w:val="000000"/>
          <w:kern w:val="0"/>
          <w:szCs w:val="32"/>
        </w:rPr>
        <w:t>（一）明确气象灾害防御责任部门、责任人的相关资料；</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57563013">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bookmarkStart w:id="11" w:name="tiao_22_kuan_1_xiang_2"/>
      <w:bookmarkEnd w:id="11"/>
      <w:r>
        <w:rPr>
          <w:rFonts w:hint="eastAsia" w:ascii="仿宋_GB2312" w:hAnsi="微软雅黑" w:cs="宋体"/>
          <w:color w:val="000000"/>
          <w:kern w:val="0"/>
          <w:szCs w:val="32"/>
        </w:rPr>
        <w:t>（二）气象灾害防御工作制度，包括气象灾害防御应急预案、检查办法等制度文件；</w:t>
      </w:r>
    </w:p>
    <w:p w14:paraId="4FAAD9A3">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仿宋_GB2312" w:hAnsi="微软雅黑" w:cs="宋体"/>
          <w:color w:val="000000"/>
          <w:kern w:val="0"/>
          <w:szCs w:val="32"/>
        </w:rPr>
        <w:t>（三）雷电防护装置设计审核、竣工验收和定期检测等相关资料；</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599D7581">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bookmarkStart w:id="12" w:name="tiao_22_kuan_1_xiang_4"/>
      <w:bookmarkEnd w:id="12"/>
      <w:r>
        <w:rPr>
          <w:rFonts w:hint="eastAsia" w:ascii="仿宋_GB2312" w:hAnsi="微软雅黑" w:cs="宋体"/>
          <w:color w:val="000000"/>
          <w:kern w:val="0"/>
          <w:szCs w:val="32"/>
        </w:rPr>
        <w:t>（四）气象灾害应急演练和气象灾害防御知识培训记录，安全检查以及隐患排查、整改情况记录，防御设施、装置、器材等的检修维护记录；</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4829C531">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bookmarkStart w:id="13" w:name="tiao_22_kuan_1_xiang_5"/>
      <w:bookmarkEnd w:id="13"/>
      <w:r>
        <w:rPr>
          <w:rFonts w:hint="eastAsia" w:ascii="仿宋_GB2312" w:hAnsi="微软雅黑" w:cs="宋体"/>
          <w:color w:val="000000"/>
          <w:kern w:val="0"/>
          <w:szCs w:val="32"/>
        </w:rPr>
        <w:t>（五）气象灾害应急处置记录；</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5E15E93A">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bookmarkStart w:id="14" w:name="tiao_22_kuan_1_xiang_6"/>
      <w:bookmarkEnd w:id="14"/>
      <w:r>
        <w:rPr>
          <w:rFonts w:hint="eastAsia" w:ascii="仿宋_GB2312" w:hAnsi="微软雅黑" w:cs="宋体"/>
          <w:color w:val="000000"/>
          <w:kern w:val="0"/>
          <w:szCs w:val="32"/>
        </w:rPr>
        <w:t>（六）其他需要归档的资料。</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6E56D513">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bookmarkStart w:id="15" w:name="tiao_23_kuan_1"/>
      <w:bookmarkEnd w:id="15"/>
      <w:r>
        <w:rPr>
          <w:rFonts w:hint="eastAsia" w:ascii="黑体" w:hAnsi="黑体" w:eastAsia="黑体" w:cs="Times New Roman"/>
          <w:kern w:val="2"/>
          <w:sz w:val="32"/>
          <w:szCs w:val="32"/>
          <w:vertAlign w:val="baseline"/>
          <w:lang w:val="en-US" w:eastAsia="zh-CN" w:bidi="ar-SA"/>
        </w:rPr>
        <w:t xml:space="preserve">第十六条【服务和指导】 </w:t>
      </w:r>
      <w:r>
        <w:rPr>
          <w:rFonts w:hint="eastAsia" w:ascii="仿宋_GB2312" w:hAnsi="微软雅黑" w:cs="宋体"/>
          <w:color w:val="000000"/>
          <w:kern w:val="0"/>
          <w:szCs w:val="32"/>
        </w:rPr>
        <w:t>县级以上气象主管机构应当向重点单位宣传普及气象灾害防御知识，及时发送气象灾害预警信息，并为重点单位气象灾害预警信息获取、气象灾害防御设施设备检定、维修提供服务便利。</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5D49F57F">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bookmarkStart w:id="16" w:name="tiao_23_kuan_2"/>
      <w:bookmarkEnd w:id="16"/>
      <w:r>
        <w:rPr>
          <w:rFonts w:hint="eastAsia" w:ascii="仿宋_GB2312" w:hAnsi="微软雅黑" w:cs="宋体"/>
          <w:color w:val="000000"/>
          <w:kern w:val="0"/>
          <w:szCs w:val="32"/>
        </w:rPr>
        <w:t>县级以上气象主管机构、行业主管部门应当对重点单位气象灾害应急预案编制、应急演练、气象灾害防御知识培训、隐患排查和应急处置等予以指导，提高重点单位避险、避灾、自救、互救能力。</w:t>
      </w:r>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bookmarkStart w:id="17" w:name="tiao_23_kuan_3"/>
      <w:bookmarkEnd w:id="17"/>
      <w:r>
        <w:rPr>
          <w:rFonts w:hint="eastAsia" w:ascii="仿宋_GB2312" w:hAnsi="微软雅黑" w:cs="宋体"/>
          <w:color w:val="000000"/>
          <w:kern w:val="0"/>
          <w:szCs w:val="32"/>
        </w:rPr>
        <w:fldChar w:fldCharType="begin"/>
      </w:r>
      <w:r>
        <w:rPr>
          <w:rFonts w:hint="eastAsia" w:ascii="仿宋_GB2312" w:hAnsi="微软雅黑" w:cs="宋体"/>
          <w:color w:val="000000"/>
          <w:kern w:val="0"/>
          <w:szCs w:val="32"/>
        </w:rPr>
        <w:instrText xml:space="preserve"> HYPERLINK "javascript:void(0);" </w:instrText>
      </w:r>
      <w:r>
        <w:rPr>
          <w:rFonts w:hint="eastAsia" w:ascii="仿宋_GB2312" w:hAnsi="微软雅黑" w:cs="宋体"/>
          <w:color w:val="000000"/>
          <w:kern w:val="0"/>
          <w:szCs w:val="32"/>
        </w:rPr>
        <w:fldChar w:fldCharType="separate"/>
      </w:r>
      <w:r>
        <w:rPr>
          <w:rFonts w:hint="eastAsia" w:ascii="仿宋_GB2312" w:hAnsi="微软雅黑" w:cs="宋体"/>
          <w:color w:val="000000"/>
          <w:kern w:val="0"/>
          <w:szCs w:val="32"/>
        </w:rPr>
        <w:fldChar w:fldCharType="end"/>
      </w:r>
    </w:p>
    <w:p w14:paraId="0BC751CB">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黑体" w:hAnsi="黑体" w:eastAsia="黑体" w:cs="Times New Roman"/>
          <w:kern w:val="2"/>
          <w:sz w:val="32"/>
          <w:szCs w:val="32"/>
          <w:vertAlign w:val="baseline"/>
          <w:lang w:val="en-US" w:eastAsia="zh-CN" w:bidi="ar-SA"/>
        </w:rPr>
        <w:t>第十七条【气象探测站点】</w:t>
      </w:r>
      <w:r>
        <w:rPr>
          <w:rStyle w:val="9"/>
          <w:rFonts w:hint="eastAsia" w:ascii="方正小标宋_GBK" w:hAnsi="方正小标宋_GBK" w:eastAsia="方正小标宋_GBK" w:cs="方正小标宋_GBK"/>
          <w:bCs w:val="0"/>
          <w:color w:val="000000"/>
        </w:rPr>
        <w:t xml:space="preserve"> </w:t>
      </w:r>
      <w:r>
        <w:rPr>
          <w:rFonts w:hint="eastAsia" w:ascii="仿宋_GB2312" w:hAnsi="微软雅黑" w:cs="宋体"/>
          <w:color w:val="000000"/>
          <w:kern w:val="0"/>
          <w:szCs w:val="32"/>
        </w:rPr>
        <w:t>重点单位根据自身需求设置气象探测站点的，应当符合法律法规、国家标准或者行业标准，与现有气象探测站网规划布局相协调。</w:t>
      </w:r>
    </w:p>
    <w:p w14:paraId="4C26BE64">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仿宋_GB2312" w:hAnsi="微软雅黑" w:cs="宋体"/>
          <w:color w:val="000000"/>
          <w:kern w:val="0"/>
          <w:szCs w:val="32"/>
        </w:rPr>
        <w:t>重点单位设置的气象探测站点，应当按照国家有关规定向自治区气象主管机构备案和汇交气象探测数据，并依法依规开展计量检定。</w:t>
      </w:r>
    </w:p>
    <w:p w14:paraId="2E562086">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黑体" w:hAnsi="黑体" w:eastAsia="黑体" w:cs="Times New Roman"/>
          <w:kern w:val="2"/>
          <w:sz w:val="32"/>
          <w:szCs w:val="32"/>
          <w:vertAlign w:val="baseline"/>
          <w:lang w:val="en-US" w:eastAsia="zh-CN" w:bidi="ar-SA"/>
        </w:rPr>
        <w:t>第十八条【监督检查】</w:t>
      </w:r>
      <w:r>
        <w:rPr>
          <w:rStyle w:val="9"/>
          <w:rFonts w:hint="eastAsia" w:ascii="方正小标宋_GBK" w:hAnsi="方正小标宋_GBK" w:eastAsia="方正小标宋_GBK" w:cs="方正小标宋_GBK"/>
          <w:bCs w:val="0"/>
          <w:color w:val="000000"/>
        </w:rPr>
        <w:t xml:space="preserve"> </w:t>
      </w:r>
      <w:r>
        <w:rPr>
          <w:rFonts w:hint="eastAsia" w:ascii="仿宋_GB2312" w:hAnsi="微软雅黑" w:cs="宋体"/>
          <w:color w:val="000000"/>
          <w:kern w:val="0"/>
          <w:szCs w:val="32"/>
        </w:rPr>
        <w:t>县级以上人民政府应当组织气象主管机构和有关行业主管部门对当地重点单位落实气象灾害防御责任进行专项检查或者抽查，督促其整改存在的隐患。</w:t>
      </w:r>
    </w:p>
    <w:p w14:paraId="0414381C">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ascii="微软雅黑" w:hAnsi="微软雅黑" w:eastAsia="微软雅黑" w:cs="宋体"/>
          <w:color w:val="000000"/>
          <w:kern w:val="0"/>
          <w:szCs w:val="32"/>
        </w:rPr>
      </w:pPr>
      <w:r>
        <w:rPr>
          <w:rFonts w:hint="eastAsia" w:ascii="仿宋_GB2312" w:hAnsi="微软雅黑" w:cs="宋体"/>
          <w:color w:val="000000"/>
          <w:kern w:val="0"/>
          <w:szCs w:val="32"/>
        </w:rPr>
        <w:t>对重点单位监督检查应当包括以下内容：</w:t>
      </w:r>
    </w:p>
    <w:p w14:paraId="6B9D5D61">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（一）气象灾害防御工作制度建设情况；</w:t>
      </w:r>
    </w:p>
    <w:p w14:paraId="2016D9DF">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（二）气象灾害预报预警信息接收终端建设和运行情况；</w:t>
      </w:r>
    </w:p>
    <w:p w14:paraId="4537C6A5">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（三）制定完善气象灾害应急预案及开展应急演练、培训情况；</w:t>
      </w:r>
    </w:p>
    <w:p w14:paraId="6515756C">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（四）开展气象灾害防御定期巡查、隐患排查及整改情况；</w:t>
      </w:r>
    </w:p>
    <w:p w14:paraId="30FA79CB">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（五）雷电防护装置设置及定期检测情况；</w:t>
      </w:r>
    </w:p>
    <w:p w14:paraId="5208927F">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（六）灾害性天气应急处置及灾情上报情况；</w:t>
      </w:r>
    </w:p>
    <w:p w14:paraId="0D0E6D62">
      <w:pPr>
        <w:keepNext w:val="0"/>
        <w:keepLines w:val="0"/>
        <w:pageBreakBefore w:val="0"/>
        <w:widowControl/>
        <w:shd w:val="clear" w:color="auto" w:fill="FFFFFF"/>
        <w:kinsoku/>
        <w:wordWrap/>
        <w:overflowPunct/>
        <w:topLinePunct w:val="0"/>
        <w:autoSpaceDE/>
        <w:autoSpaceDN/>
        <w:bidi w:val="0"/>
        <w:adjustRightInd/>
        <w:snapToGrid/>
        <w:jc w:val="left"/>
        <w:rPr>
          <w:rFonts w:ascii="微软雅黑" w:hAnsi="微软雅黑" w:eastAsia="微软雅黑" w:cs="宋体"/>
          <w:color w:val="000000"/>
          <w:kern w:val="0"/>
          <w:szCs w:val="32"/>
        </w:rPr>
      </w:pPr>
      <w:r>
        <w:rPr>
          <w:rFonts w:hint="eastAsia" w:ascii="仿宋_GB2312" w:hAnsi="微软雅黑" w:cs="宋体"/>
          <w:color w:val="000000"/>
          <w:kern w:val="0"/>
          <w:szCs w:val="32"/>
        </w:rPr>
        <w:t>　　（七）气象灾害防御档案建立情况；</w:t>
      </w:r>
    </w:p>
    <w:p w14:paraId="00124721">
      <w:pPr>
        <w:keepNext w:val="0"/>
        <w:keepLines w:val="0"/>
        <w:pageBreakBefore w:val="0"/>
        <w:widowControl/>
        <w:shd w:val="clear" w:color="auto" w:fill="FFFFFF"/>
        <w:kinsoku/>
        <w:wordWrap/>
        <w:overflowPunct/>
        <w:topLinePunct w:val="0"/>
        <w:autoSpaceDE/>
        <w:autoSpaceDN/>
        <w:bidi w:val="0"/>
        <w:adjustRightInd/>
        <w:snapToGrid/>
        <w:ind w:firstLine="645"/>
        <w:jc w:val="left"/>
        <w:rPr>
          <w:rFonts w:ascii="微软雅黑" w:hAnsi="微软雅黑" w:eastAsia="微软雅黑" w:cs="宋体"/>
          <w:color w:val="000000"/>
          <w:kern w:val="0"/>
          <w:szCs w:val="32"/>
        </w:rPr>
      </w:pPr>
      <w:r>
        <w:rPr>
          <w:rFonts w:hint="eastAsia" w:ascii="仿宋_GB2312" w:hAnsi="微软雅黑" w:cs="宋体"/>
          <w:color w:val="000000"/>
          <w:kern w:val="0"/>
          <w:szCs w:val="32"/>
        </w:rPr>
        <w:t>（八）法律、法规和规章规定的应当实施监督检查的其他情况。</w:t>
      </w:r>
    </w:p>
    <w:p w14:paraId="5121F0CF">
      <w:pPr>
        <w:keepNext w:val="0"/>
        <w:keepLines w:val="0"/>
        <w:pageBreakBefore w:val="0"/>
        <w:widowControl/>
        <w:shd w:val="clear" w:color="auto" w:fill="FFFFFF"/>
        <w:kinsoku/>
        <w:wordWrap/>
        <w:overflowPunct/>
        <w:topLinePunct w:val="0"/>
        <w:autoSpaceDE/>
        <w:autoSpaceDN/>
        <w:bidi w:val="0"/>
        <w:adjustRightInd/>
        <w:snapToGrid/>
        <w:ind w:firstLine="632" w:firstLineChars="200"/>
        <w:rPr>
          <w:rFonts w:hint="eastAsia" w:ascii="仿宋_GB2312" w:hAnsi="微软雅黑" w:cs="宋体"/>
          <w:color w:val="000000"/>
          <w:kern w:val="0"/>
          <w:szCs w:val="32"/>
        </w:rPr>
      </w:pPr>
      <w:r>
        <w:rPr>
          <w:rFonts w:hint="eastAsia" w:ascii="黑体" w:hAnsi="黑体" w:eastAsia="黑体" w:cs="Times New Roman"/>
          <w:kern w:val="2"/>
          <w:sz w:val="32"/>
          <w:szCs w:val="32"/>
          <w:vertAlign w:val="baseline"/>
          <w:lang w:val="en-US" w:eastAsia="zh-CN" w:bidi="ar-SA"/>
        </w:rPr>
        <w:t>第十九条【其他规定】</w:t>
      </w:r>
      <w:r>
        <w:rPr>
          <w:rStyle w:val="9"/>
          <w:rFonts w:hint="eastAsia" w:ascii="方正小标宋_GBK" w:hAnsi="方正小标宋_GBK" w:eastAsia="方正小标宋_GBK" w:cs="方正小标宋_GBK"/>
          <w:bCs w:val="0"/>
          <w:color w:val="000000"/>
        </w:rPr>
        <w:t xml:space="preserve"> </w:t>
      </w:r>
      <w:r>
        <w:rPr>
          <w:rFonts w:hint="eastAsia" w:ascii="仿宋_GB2312" w:hAnsi="微软雅黑" w:cs="宋体"/>
          <w:color w:val="000000"/>
          <w:kern w:val="0"/>
          <w:szCs w:val="32"/>
        </w:rPr>
        <w:t>鼓励相关行业协会、气象信息服务单位依照相关标准规范开展重点单位生产活动与气象因子关系研究，为重点单位提供气象服务。鼓励重点单位根据生产经营活动需要，定制个性化的气象服务。</w:t>
      </w:r>
    </w:p>
    <w:p w14:paraId="3B4D7BC2">
      <w:pPr>
        <w:pStyle w:val="3"/>
        <w:keepNext w:val="0"/>
        <w:keepLines w:val="0"/>
        <w:pageBreakBefore w:val="0"/>
        <w:kinsoku/>
        <w:wordWrap/>
        <w:overflowPunct/>
        <w:topLinePunct w:val="0"/>
        <w:autoSpaceDE/>
        <w:autoSpaceDN/>
        <w:bidi w:val="0"/>
        <w:adjustRightInd/>
        <w:snapToGrid/>
        <w:ind w:firstLine="632"/>
        <w:rPr>
          <w:rFonts w:ascii="黑体" w:hAnsi="黑体" w:eastAsia="黑体" w:cs="宋体"/>
          <w:bCs/>
          <w:color w:val="000000"/>
          <w:kern w:val="0"/>
          <w:szCs w:val="32"/>
        </w:rPr>
      </w:pPr>
      <w:r>
        <w:rPr>
          <w:rFonts w:hint="eastAsia"/>
          <w:color w:val="000000"/>
        </w:rPr>
        <w:t>鼓励重点单位通过保险形式分担气象灾害风险。鼓励保险机构将重点单位气象防灾减灾建设的规范化、标准化程度作为相关保险费率的核定因素。</w:t>
      </w:r>
    </w:p>
    <w:p w14:paraId="4C4051AE">
      <w:pPr>
        <w:keepNext w:val="0"/>
        <w:keepLines w:val="0"/>
        <w:pageBreakBefore w:val="0"/>
        <w:widowControl/>
        <w:shd w:val="clear" w:color="auto" w:fill="FFFFFF"/>
        <w:kinsoku/>
        <w:wordWrap/>
        <w:overflowPunct/>
        <w:topLinePunct w:val="0"/>
        <w:autoSpaceDE/>
        <w:autoSpaceDN/>
        <w:bidi w:val="0"/>
        <w:adjustRightInd/>
        <w:snapToGrid/>
        <w:ind w:firstLine="632" w:firstLineChars="200"/>
        <w:jc w:val="left"/>
        <w:rPr>
          <w:rFonts w:ascii="微软雅黑" w:hAnsi="微软雅黑" w:cs="宋体"/>
          <w:color w:val="000000"/>
          <w:kern w:val="0"/>
          <w:szCs w:val="32"/>
        </w:rPr>
      </w:pPr>
      <w:r>
        <w:rPr>
          <w:rFonts w:hint="eastAsia" w:ascii="黑体" w:hAnsi="黑体" w:eastAsia="黑体" w:cs="Times New Roman"/>
          <w:kern w:val="2"/>
          <w:sz w:val="32"/>
          <w:szCs w:val="32"/>
          <w:vertAlign w:val="baseline"/>
          <w:lang w:val="en-US" w:eastAsia="zh-CN" w:bidi="ar-SA"/>
        </w:rPr>
        <w:t xml:space="preserve">第二十条【法律责任1】 </w:t>
      </w:r>
      <w:r>
        <w:rPr>
          <w:rFonts w:hint="eastAsia" w:ascii="仿宋_GB2312" w:hAnsi="微软雅黑" w:cs="宋体"/>
          <w:color w:val="000000"/>
          <w:kern w:val="0"/>
          <w:szCs w:val="32"/>
        </w:rPr>
        <w:t>重点单位违反本办法规定，未履行气象灾害防御职责的，按照相关法律、法规进行处理；法律、法规没有规定的，由有关气象主管机构或者行业主管部门责令改正，拒不改正的，依法给予警告或者通报批评；违反治安管理行为的，依法给予治安管理处罚；构成犯罪的，依法追究刑事责任。</w:t>
      </w:r>
    </w:p>
    <w:p w14:paraId="4E2F4631">
      <w:pPr>
        <w:keepNext w:val="0"/>
        <w:keepLines w:val="0"/>
        <w:pageBreakBefore w:val="0"/>
        <w:widowControl/>
        <w:shd w:val="clear" w:color="auto" w:fill="FFFFFF"/>
        <w:kinsoku/>
        <w:wordWrap/>
        <w:overflowPunct/>
        <w:topLinePunct w:val="0"/>
        <w:autoSpaceDE/>
        <w:autoSpaceDN/>
        <w:bidi w:val="0"/>
        <w:adjustRightInd/>
        <w:snapToGrid/>
        <w:ind w:firstLine="645"/>
        <w:jc w:val="left"/>
        <w:rPr>
          <w:rFonts w:ascii="微软雅黑" w:hAnsi="微软雅黑" w:eastAsia="微软雅黑" w:cs="宋体"/>
          <w:color w:val="000000"/>
          <w:kern w:val="0"/>
          <w:szCs w:val="32"/>
        </w:rPr>
      </w:pPr>
      <w:r>
        <w:rPr>
          <w:rFonts w:hint="eastAsia" w:ascii="黑体" w:hAnsi="黑体" w:eastAsia="黑体" w:cs="Times New Roman"/>
          <w:kern w:val="2"/>
          <w:sz w:val="32"/>
          <w:szCs w:val="32"/>
          <w:vertAlign w:val="baseline"/>
          <w:lang w:val="en-US" w:eastAsia="zh-CN" w:bidi="ar-SA"/>
        </w:rPr>
        <w:t>第二十一条【法律责任2】</w:t>
      </w:r>
      <w:r>
        <w:rPr>
          <w:rStyle w:val="9"/>
          <w:rFonts w:hint="eastAsia" w:ascii="微软雅黑" w:hAnsi="微软雅黑" w:eastAsia="微软雅黑" w:cs="微软雅黑"/>
          <w:bCs w:val="0"/>
          <w:color w:val="000000"/>
        </w:rPr>
        <w:t xml:space="preserve"> </w:t>
      </w:r>
      <w:r>
        <w:rPr>
          <w:rFonts w:hint="eastAsia" w:ascii="仿宋_GB2312" w:hAnsi="微软雅黑" w:cs="宋体"/>
          <w:color w:val="000000"/>
          <w:kern w:val="0"/>
          <w:szCs w:val="32"/>
        </w:rPr>
        <w:t>各级人民政府、气象主管机构和其他有关主管部门及其工作人员违反本办法规定，未依法履行职责的，由上级机关或者监察机关责令改正；情节严重的，对直接负责的主管人员和其他直接责任人员依法给予处分。</w:t>
      </w:r>
    </w:p>
    <w:p w14:paraId="66A95A7C">
      <w:pPr>
        <w:keepNext w:val="0"/>
        <w:keepLines w:val="0"/>
        <w:pageBreakBefore w:val="0"/>
        <w:widowControl/>
        <w:shd w:val="clear" w:color="auto" w:fill="FFFFFF"/>
        <w:kinsoku/>
        <w:wordWrap/>
        <w:overflowPunct/>
        <w:topLinePunct w:val="0"/>
        <w:autoSpaceDE/>
        <w:autoSpaceDN/>
        <w:bidi w:val="0"/>
        <w:adjustRightInd/>
        <w:snapToGrid/>
        <w:ind w:firstLine="645"/>
        <w:jc w:val="left"/>
        <w:rPr>
          <w:rFonts w:ascii="仿宋_GB2312"/>
          <w:color w:val="000000"/>
          <w:spacing w:val="-6"/>
          <w:szCs w:val="32"/>
        </w:rPr>
      </w:pPr>
      <w:r>
        <w:rPr>
          <w:rFonts w:hint="eastAsia" w:ascii="黑体" w:hAnsi="黑体" w:eastAsia="黑体" w:cs="Times New Roman"/>
          <w:kern w:val="2"/>
          <w:sz w:val="32"/>
          <w:szCs w:val="32"/>
          <w:vertAlign w:val="baseline"/>
          <w:lang w:val="en-US" w:eastAsia="zh-CN" w:bidi="ar-SA"/>
        </w:rPr>
        <w:t xml:space="preserve">第二十二条【施行日期】 </w:t>
      </w:r>
      <w:r>
        <w:rPr>
          <w:rFonts w:hint="eastAsia" w:ascii="仿宋_GB2312" w:hAnsi="微软雅黑" w:cs="宋体"/>
          <w:color w:val="000000"/>
          <w:kern w:val="0"/>
          <w:szCs w:val="32"/>
        </w:rPr>
        <w:t>本办法自</w:t>
      </w:r>
      <w:r>
        <w:rPr>
          <w:rFonts w:hint="eastAsia" w:ascii="仿宋_GB2312" w:hAnsi="微软雅黑" w:cs="宋体"/>
          <w:color w:val="000000"/>
          <w:kern w:val="0"/>
          <w:szCs w:val="32"/>
          <w:lang w:val="en-US" w:eastAsia="zh-CN"/>
        </w:rPr>
        <w:t>XXXX</w:t>
      </w:r>
      <w:r>
        <w:rPr>
          <w:rFonts w:hint="eastAsia" w:ascii="仿宋_GB2312" w:hAnsi="微软雅黑" w:cs="宋体"/>
          <w:color w:val="000000"/>
          <w:kern w:val="0"/>
          <w:szCs w:val="32"/>
        </w:rPr>
        <w:t>年</w:t>
      </w:r>
      <w:r>
        <w:rPr>
          <w:rFonts w:hint="eastAsia" w:ascii="仿宋_GB2312" w:hAnsi="微软雅黑" w:cs="宋体"/>
          <w:color w:val="000000"/>
          <w:kern w:val="0"/>
          <w:szCs w:val="32"/>
          <w:lang w:val="en-US" w:eastAsia="zh-CN"/>
        </w:rPr>
        <w:t>XX</w:t>
      </w:r>
      <w:r>
        <w:rPr>
          <w:rFonts w:hint="eastAsia" w:ascii="仿宋_GB2312" w:hAnsi="微软雅黑" w:cs="宋体"/>
          <w:color w:val="000000"/>
          <w:kern w:val="0"/>
          <w:szCs w:val="32"/>
        </w:rPr>
        <w:t>月</w:t>
      </w:r>
      <w:r>
        <w:rPr>
          <w:rFonts w:hint="eastAsia" w:ascii="仿宋_GB2312" w:hAnsi="微软雅黑" w:cs="宋体"/>
          <w:color w:val="000000"/>
          <w:kern w:val="0"/>
          <w:szCs w:val="32"/>
          <w:lang w:val="en-US" w:eastAsia="zh-CN"/>
        </w:rPr>
        <w:t>XX</w:t>
      </w:r>
      <w:r>
        <w:rPr>
          <w:rFonts w:hint="eastAsia" w:ascii="仿宋_GB2312" w:hAnsi="微软雅黑" w:cs="宋体"/>
          <w:color w:val="000000"/>
          <w:kern w:val="0"/>
          <w:szCs w:val="32"/>
        </w:rPr>
        <w:t>日起施行。</w:t>
      </w:r>
    </w:p>
    <w:p w14:paraId="1786EA07"/>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91" w:gutter="0"/>
      <w:pgNumType w:fmt="numberInDash"/>
      <w:cols w:space="720" w:num="1"/>
      <w:docGrid w:type="linesAndChars" w:linePitch="631"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D5C67C-586C-4426-A876-AAECCA0410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E8DB3E6-5EBA-46AB-9039-BB6EF2797413}"/>
  </w:font>
  <w:font w:name="仿宋_GB2312">
    <w:panose1 w:val="02010609030101010101"/>
    <w:charset w:val="86"/>
    <w:family w:val="modern"/>
    <w:pitch w:val="default"/>
    <w:sig w:usb0="00000001" w:usb1="080E0000" w:usb2="00000000" w:usb3="00000000" w:csb0="00040000" w:csb1="00000000"/>
    <w:embedRegular r:id="rId3" w:fontKey="{6D4220CF-B584-4632-B3C6-47640B2924BA}"/>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4" w:fontKey="{AB225F85-AF95-42D7-930E-38D82095D7B2}"/>
  </w:font>
  <w:font w:name="楷体_GB2312">
    <w:panose1 w:val="02010609030101010101"/>
    <w:charset w:val="86"/>
    <w:family w:val="modern"/>
    <w:pitch w:val="default"/>
    <w:sig w:usb0="00000001" w:usb1="080E0000" w:usb2="00000000" w:usb3="00000000" w:csb0="00040000" w:csb1="00000000"/>
    <w:embedRegular r:id="rId5" w:fontKey="{3818FDB6-ADB5-4E78-9211-CE6081C6381F}"/>
  </w:font>
  <w:font w:name="微软雅黑">
    <w:panose1 w:val="020B0503020204020204"/>
    <w:charset w:val="86"/>
    <w:family w:val="swiss"/>
    <w:pitch w:val="default"/>
    <w:sig w:usb0="80000287" w:usb1="2ACF3C50" w:usb2="00000016" w:usb3="00000000" w:csb0="0004001F" w:csb1="00000000"/>
    <w:embedRegular r:id="rId6" w:fontKey="{473A7544-1719-4941-9CCD-2C68B66F389F}"/>
  </w:font>
  <w:font w:name="方正仿宋_GB2312">
    <w:panose1 w:val="02000000000000000000"/>
    <w:charset w:val="86"/>
    <w:family w:val="auto"/>
    <w:pitch w:val="default"/>
    <w:sig w:usb0="A00002BF" w:usb1="184F6CFA" w:usb2="00000012" w:usb3="00000000" w:csb0="00040001" w:csb1="00000000"/>
    <w:embedRegular r:id="rId7" w:fontKey="{A2CEFF53-4277-4FC2-8F1C-B81EF841A1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11B1">
    <w:pPr>
      <w:pStyle w:val="5"/>
      <w:ind w:right="360"/>
      <w:rPr>
        <w:rFonts w:hint="eastAsia" w:ascii="仿宋_GB2312"/>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801D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178801D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E454">
    <w:pPr>
      <w:pStyle w:val="5"/>
      <w:tabs>
        <w:tab w:val="right" w:pos="8460"/>
        <w:tab w:val="clear" w:pos="8306"/>
      </w:tabs>
      <w:ind w:right="212"/>
      <w:rPr>
        <w:rFonts w:ascii="仿宋_GB2312"/>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75ECF5">
                          <w:pPr>
                            <w:pStyle w:val="5"/>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675ECF5">
                    <w:pPr>
                      <w:pStyle w:val="5"/>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8B910">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66F4B7">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466F4B7">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CDB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1DE35">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C32A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paragraph" w:styleId="2">
    <w:name w:val="heading 2"/>
    <w:basedOn w:val="1"/>
    <w:next w:val="1"/>
    <w:link w:val="9"/>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widowControl w:val="0"/>
      <w:spacing w:line="520" w:lineRule="exact"/>
      <w:jc w:val="left"/>
    </w:pPr>
    <w:rPr>
      <w:rFonts w:ascii="Times New Roman" w:hAnsi="Times New Roman" w:eastAsia="仿宋_GB2312"/>
      <w:sz w:val="28"/>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9">
    <w:name w:val="标题 2 字符"/>
    <w:link w:val="2"/>
    <w:qFormat/>
    <w:uiPriority w:val="9"/>
    <w:rPr>
      <w:rFonts w:ascii="Cambria" w:hAnsi="Cambria" w:eastAsia="宋体" w:cs="Times New Roman"/>
      <w:b/>
      <w:bCs/>
      <w:sz w:val="32"/>
      <w:szCs w:val="32"/>
    </w:rPr>
  </w:style>
  <w:style w:type="paragraph" w:customStyle="1" w:styleId="10">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2025-12-12T09:26:22Z</dcterms:created>
  <dc:creator>zpc01</dc:creator>
  <cp:lastModifiedBy>南巷</cp:lastModifiedBy>
  <dcterms:modified xsi:type="dcterms:W3CDTF">2025-12-12T09:26:41Z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eyJoZGlkIjoiNTk3YTQ5ZDJjM2IzNzBkZjRkMWM0NjMyNTU1MDVmNDIiLCJ1c2VySWQiOiI0MzE5NjcxOTEifQ==</vt:lpwstr>
  </property>
  <property fmtid="{D5CDD505-2E9C-101B-9397-08002B2CF9AE}" pid="4" name="ICV">
    <vt:lpwstr>AC9946AA179141049AD576B5654FAA23_12</vt:lpwstr>
  </property>
</Properties>
</file>